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481—61.3</w:t>
      </w:r>
      <w:r>
        <w:rPr>
          <w:rFonts w:ascii="Times New Roman" w:hAnsi="Times New Roman"/>
          <w:b/>
          <w:i w:val="false"/>
          <w:color w:val="000000"/>
          <w:sz w:val="22"/>
        </w:rPr>
        <w:t xml:space="preserve">(135C) </w:t>
      </w:r>
      <w:r>
        <w:rPr>
          <w:rFonts w:ascii="Times New Roman" w:hAnsi="Times New Roman"/>
          <w:b/>
          <w:i w:val="false"/>
          <w:color w:val="000000"/>
          <w:sz w:val="22"/>
        </w:rPr>
        <w:t xml:space="preserve">Submission of construction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Submissions of architectural technical documents, engineering documents, and plans and specifications to the state fire marshal’s office shall be as required by rule </w:t>
      </w:r>
      <w:hyperlink r:id="rId4">
        <w:r>
          <w:rPr>
            <w:rStyle w:val="Hyperlink"/>
            <w:rFonts w:ascii="Times New Roman" w:hAnsi="Times New Roman"/>
            <w:b w:val="false"/>
            <w:i w:val="false"/>
            <w:color w:val="000000"/>
            <w:sz w:val="22"/>
          </w:rPr>
          <w:t>481—300.4</w:t>
        </w:r>
      </w:hyperlink>
      <w:r>
        <w:rPr>
          <w:rFonts w:ascii="Times New Roman" w:hAnsi="Times New Roman"/>
          <w:b w:val="false"/>
          <w:i w:val="false"/>
          <w:color w:val="000000"/>
          <w:sz w:val="22"/>
        </w:rPr>
        <w:t>(103A) and are the responsibility of the owner of the building or facility, although the actual submission may be completed by an authorized agent of the owner or the responsible design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specifications and other supporting information shall be sufficiently clear and complete to show in detail that the proposed work will comply with the construction standards required by rule </w:t>
      </w:r>
      <w:hyperlink r:id="rId5">
        <w:r>
          <w:rPr>
            <w:rStyle w:val="Hyperlink"/>
            <w:rFonts w:ascii="Times New Roman" w:hAnsi="Times New Roman"/>
            <w:b w:val="false"/>
            <w:i w:val="false"/>
            <w:color w:val="000000"/>
            <w:sz w:val="22"/>
          </w:rPr>
          <w:t>481—61.2</w:t>
        </w:r>
      </w:hyperlink>
      <w:r>
        <w:rPr>
          <w:rFonts w:ascii="Times New Roman" w:hAnsi="Times New Roman"/>
          <w:b w:val="false"/>
          <w:i w:val="false"/>
          <w:color w:val="000000"/>
          <w:sz w:val="22"/>
        </w:rPr>
        <w:t>(135C).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Submittals to the state fire marshal’s office shall be certified or stamped and signed as required by Iowa Code chapters </w:t>
      </w:r>
      <w:hyperlink r:id="rId6">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unless the applicant has certified on the submittal to the applicability of a specific exception under Iowa Code section </w:t>
      </w:r>
      <w:hyperlink r:id="rId8">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and the submittal does not constitute the practice of engineering as defined by Iowa Code section </w:t>
      </w:r>
      <w:hyperlink r:id="rId9">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responsible design professional shall certify that the building plans meet the requirements specified in this chapter, unless a waiver has been granted pursuant to rule </w:t>
      </w:r>
      <w:hyperlink r:id="rId10">
        <w:r>
          <w:rPr>
            <w:rStyle w:val="Hyperlink"/>
            <w:rFonts w:ascii="Times New Roman" w:hAnsi="Times New Roman"/>
            <w:b w:val="false"/>
            <w:i w:val="false"/>
            <w:color w:val="000000"/>
            <w:sz w:val="22"/>
          </w:rPr>
          <w:t>481—61.4</w:t>
        </w:r>
      </w:hyperlink>
      <w:r>
        <w:rPr>
          <w:rFonts w:ascii="Times New Roman" w:hAnsi="Times New Roman"/>
          <w:b w:val="false"/>
          <w:i w:val="false"/>
          <w:color w:val="000000"/>
          <w:sz w:val="22"/>
        </w:rPr>
        <w:t>(135C).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300.4.pdf" Type="http://schemas.openxmlformats.org/officeDocument/2006/relationships/hyperlink" Id="rId4"/>
    <Relationship TargetMode="External" Target="https://www.legis.iowa.gov/docs/iac/rule/481.61.2.pdf" Type="http://schemas.openxmlformats.org/officeDocument/2006/relationships/hyperlink" Id="rId5"/>
    <Relationship TargetMode="External" Target="https://www.legis.iowa.gov/docs/ico/chapter/542B.pdf" Type="http://schemas.openxmlformats.org/officeDocument/2006/relationships/hyperlink" Id="rId6"/>
    <Relationship TargetMode="External" Target="https://www.legis.iowa.gov/docs/ico/chapter/544A.pdf" Type="http://schemas.openxmlformats.org/officeDocument/2006/relationships/hyperlink" Id="rId7"/>
    <Relationship TargetMode="External" Target="https://www.legis.iowa.gov/docs/ico/chapter/544A.18.pdf" Type="http://schemas.openxmlformats.org/officeDocument/2006/relationships/hyperlink" Id="rId8"/>
    <Relationship TargetMode="External" Target="https://www.legis.iowa.gov/docs/ico/chapter/542B.2.pdf" Type="http://schemas.openxmlformats.org/officeDocument/2006/relationships/hyperlink" Id="rId9"/>
    <Relationship TargetMode="External" Target="https://www.legis.iowa.gov/docs/iac/rule/481.61.4.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