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481—60.3</w:t>
      </w:r>
      <w:r>
        <w:rPr>
          <w:rFonts w:ascii="Times New Roman" w:hAnsi="Times New Roman"/>
          <w:b/>
          <w:i w:val="false"/>
          <w:color w:val="000000"/>
          <w:sz w:val="22"/>
        </w:rPr>
        <w:t xml:space="preserve">(135C) </w:t>
      </w:r>
      <w:r>
        <w:rPr>
          <w:rFonts w:ascii="Times New Roman" w:hAnsi="Times New Roman"/>
          <w:b/>
          <w:i w:val="false"/>
          <w:color w:val="000000"/>
          <w:sz w:val="22"/>
        </w:rPr>
        <w:t xml:space="preserve">Submission of construction documents.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60.3(1)</w:t>
      </w:r>
      <w:r>
        <w:rPr>
          <w:rFonts w:ascii="Times New Roman" w:hAnsi="Times New Roman"/>
          <w:b w:val="false"/>
          <w:i w:val="false"/>
          <w:color w:val="000000"/>
          <w:sz w:val="22"/>
        </w:rPr>
        <w:t> </w:t>
      </w:r>
      <w:r>
        <w:rPr>
          <w:rFonts w:ascii="Times New Roman" w:hAnsi="Times New Roman"/>
          <w:b w:val="false"/>
          <w:i w:val="false"/>
          <w:color w:val="000000"/>
          <w:sz w:val="22"/>
        </w:rPr>
        <w:t xml:space="preserve">Submissions of architectural technical documents, engineering documents, and plans and specifications to the state fire marshal’s office shall be as required by rule </w:t>
      </w:r>
      <w:hyperlink r:id="rId4">
        <w:r>
          <w:rPr>
            <w:rStyle w:val="Hyperlink"/>
            <w:rFonts w:ascii="Times New Roman" w:hAnsi="Times New Roman"/>
            <w:b w:val="false"/>
            <w:i w:val="false"/>
            <w:color w:val="000000"/>
            <w:sz w:val="22"/>
          </w:rPr>
          <w:t>481—300.4</w:t>
        </w:r>
      </w:hyperlink>
      <w:r>
        <w:rPr>
          <w:rFonts w:ascii="Times New Roman" w:hAnsi="Times New Roman"/>
          <w:b w:val="false"/>
          <w:i w:val="false"/>
          <w:color w:val="000000"/>
          <w:sz w:val="22"/>
        </w:rPr>
        <w:t>(103A) and are the responsibility of the owner of the building or facility, although the actual submission may be completed by an authorized agent of the owner or the responsible design professional.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60.3(2)</w:t>
      </w:r>
      <w:r>
        <w:rPr>
          <w:rFonts w:ascii="Times New Roman" w:hAnsi="Times New Roman"/>
          <w:b w:val="false"/>
          <w:i w:val="false"/>
          <w:color w:val="000000"/>
          <w:sz w:val="22"/>
        </w:rPr>
        <w:t> </w:t>
      </w:r>
      <w:r>
        <w:rPr>
          <w:rFonts w:ascii="Times New Roman" w:hAnsi="Times New Roman"/>
          <w:b w:val="false"/>
          <w:i w:val="false"/>
          <w:color w:val="000000"/>
          <w:sz w:val="22"/>
        </w:rPr>
        <w:t xml:space="preserve">Plans, specifications and other supporting information shall be sufficiently clear and complete to show in detail that the proposed work will comply with the construction standards required by rule </w:t>
      </w:r>
      <w:hyperlink r:id="rId5">
        <w:r>
          <w:rPr>
            <w:rStyle w:val="Hyperlink"/>
            <w:rFonts w:ascii="Times New Roman" w:hAnsi="Times New Roman"/>
            <w:b w:val="false"/>
            <w:i w:val="false"/>
            <w:color w:val="000000"/>
            <w:sz w:val="22"/>
          </w:rPr>
          <w:t>481—60.2</w:t>
        </w:r>
      </w:hyperlink>
      <w:r>
        <w:rPr>
          <w:rFonts w:ascii="Times New Roman" w:hAnsi="Times New Roman"/>
          <w:b w:val="false"/>
          <w:i w:val="false"/>
          <w:color w:val="000000"/>
          <w:sz w:val="22"/>
        </w:rPr>
        <w:t>(135C).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60.3(3)</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Submittals to the state fire marshal’s office shall be certified or stamped and signed as required by Iowa Code chapters </w:t>
      </w:r>
      <w:hyperlink r:id="rId6">
        <w:r>
          <w:rPr>
            <w:rStyle w:val="Hyperlink"/>
            <w:rFonts w:ascii="Times New Roman" w:hAnsi="Times New Roman"/>
            <w:b w:val="false"/>
            <w:i w:val="false"/>
            <w:color w:val="000000"/>
            <w:sz w:val="22"/>
          </w:rPr>
          <w:t>542B</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544A</w:t>
        </w:r>
      </w:hyperlink>
      <w:r>
        <w:rPr>
          <w:rFonts w:ascii="Times New Roman" w:hAnsi="Times New Roman"/>
          <w:b w:val="false"/>
          <w:i w:val="false"/>
          <w:color w:val="000000"/>
          <w:sz w:val="22"/>
        </w:rPr>
        <w:t xml:space="preserve">, unless the applicant has certified on the submittal to the applicability of a specific exception under Iowa Code section </w:t>
      </w:r>
      <w:hyperlink r:id="rId8">
        <w:r>
          <w:rPr>
            <w:rStyle w:val="Hyperlink"/>
            <w:rFonts w:ascii="Times New Roman" w:hAnsi="Times New Roman"/>
            <w:b w:val="false"/>
            <w:i w:val="false"/>
            <w:color w:val="000000"/>
            <w:sz w:val="22"/>
          </w:rPr>
          <w:t>544A.18</w:t>
        </w:r>
      </w:hyperlink>
      <w:r>
        <w:rPr>
          <w:rFonts w:ascii="Times New Roman" w:hAnsi="Times New Roman"/>
          <w:b w:val="false"/>
          <w:i w:val="false"/>
          <w:color w:val="000000"/>
          <w:sz w:val="22"/>
        </w:rPr>
        <w:t xml:space="preserve"> and the submittal does not constitute the practice of engineering as defined by Iowa Code section </w:t>
      </w:r>
      <w:hyperlink r:id="rId9">
        <w:r>
          <w:rPr>
            <w:rStyle w:val="Hyperlink"/>
            <w:rFonts w:ascii="Times New Roman" w:hAnsi="Times New Roman"/>
            <w:b w:val="false"/>
            <w:i w:val="false"/>
            <w:color w:val="000000"/>
            <w:sz w:val="22"/>
          </w:rPr>
          <w:t>542B.2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60.3(4)</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responsible design professional shall certify that the building plans meet the requirements specified in this chapter, unless a waiver has been granted pursuant to rule </w:t>
      </w:r>
      <w:hyperlink r:id="rId10">
        <w:r>
          <w:rPr>
            <w:rStyle w:val="Hyperlink"/>
            <w:rFonts w:ascii="Times New Roman" w:hAnsi="Times New Roman"/>
            <w:b w:val="false"/>
            <w:i w:val="false"/>
            <w:color w:val="000000"/>
            <w:sz w:val="22"/>
          </w:rPr>
          <w:t>481—60.4</w:t>
        </w:r>
      </w:hyperlink>
      <w:r>
        <w:rPr>
          <w:rFonts w:ascii="Times New Roman" w:hAnsi="Times New Roman"/>
          <w:b w:val="false"/>
          <w:i w:val="false"/>
          <w:color w:val="000000"/>
          <w:sz w:val="22"/>
        </w:rPr>
        <w:t>(135C).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7036C</w:t>
      </w:r>
      <w:r>
        <w:rPr>
          <w:rFonts w:ascii="Times New Roman" w:hAnsi="Times New Roman"/>
          <w:b w:val="false"/>
          <w:i w:val="false"/>
          <w:color w:val="000000"/>
          <w:sz w:val="16"/>
        </w:rPr>
        <w:t>, IAB 5/31/23, effective 7/5/23</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8/5/26</w:t>
      </w:r>
      <w:r>
        <w:rPr>
          <w:rFonts w:ascii="Times New Roman" w:hAnsi="Times New Roman"/>
          <w:b w:val="false"/>
          <w:i w:val="false"/>
          <w:color w:val="000000"/>
          <w:sz w:val="16"/>
        </w:rPr>
        <w:t>]</w:t>
      </w:r>
    </w:p>
    <w:sectPr>
      <w:footerReference r:id="rId11"/>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81.300.4.pdf" Type="http://schemas.openxmlformats.org/officeDocument/2006/relationships/hyperlink" Id="rId4"/>
    <Relationship TargetMode="External" Target="https://www.legis.iowa.gov/docs/iac/rule/481.60.2.pdf" Type="http://schemas.openxmlformats.org/officeDocument/2006/relationships/hyperlink" Id="rId5"/>
    <Relationship TargetMode="External" Target="https://www.legis.iowa.gov/docs/ico/chapter/542B.pdf" Type="http://schemas.openxmlformats.org/officeDocument/2006/relationships/hyperlink" Id="rId6"/>
    <Relationship TargetMode="External" Target="https://www.legis.iowa.gov/docs/ico/chapter/544A.pdf" Type="http://schemas.openxmlformats.org/officeDocument/2006/relationships/hyperlink" Id="rId7"/>
    <Relationship TargetMode="External" Target="https://www.legis.iowa.gov/docs/ico/chapter/544A.18.pdf" Type="http://schemas.openxmlformats.org/officeDocument/2006/relationships/hyperlink" Id="rId8"/>
    <Relationship TargetMode="External" Target="https://www.legis.iowa.gov/docs/ico/chapter/542B.2.pdf" Type="http://schemas.openxmlformats.org/officeDocument/2006/relationships/hyperlink" Id="rId9"/>
    <Relationship TargetMode="External" Target="https://www.legis.iowa.gov/docs/iac/rule/481.60.4.pdf" Type="http://schemas.openxmlformats.org/officeDocument/2006/relationships/hyperlink" Id="rId10"/>
    <Relationship Target="footer.xml" Type="http://schemas.openxmlformats.org/officeDocument/2006/relationships/footer"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