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481—581.3</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Violations of the provisions of Iowa Code chapter </w:t>
      </w:r>
      <w:hyperlink r:id="rId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sections </w:t>
      </w:r>
      <w:hyperlink r:id="rId5">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153.32</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153.34</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 xml:space="preserve"> and other applicable sections of Iowa law shall constitute grounds for the imposition by the board of disciplinary action pursuant to rule </w:t>
      </w:r>
      <w:hyperlink r:id="rId9">
        <w:r>
          <w:rPr>
            <w:rStyle w:val="Hyperlink"/>
            <w:rFonts w:ascii="Times New Roman" w:hAnsi="Times New Roman"/>
            <w:b w:val="false"/>
            <w:i w:val="false"/>
            <w:color w:val="000000"/>
            <w:sz w:val="22"/>
          </w:rPr>
          <w:t>481—581.1</w:t>
        </w:r>
      </w:hyperlink>
      <w:r>
        <w:rPr>
          <w:rFonts w:ascii="Times New Roman" w:hAnsi="Times New Roman"/>
          <w:b w:val="false"/>
          <w:i w:val="false"/>
          <w:color w:val="000000"/>
          <w:sz w:val="22"/>
        </w:rPr>
        <w:t xml:space="preserve">(147,153,272C). This rule is not subject to waiver pursuant to </w:t>
      </w:r>
      <w:hyperlink r:id="rId10">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 xml:space="preserve"> or any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581.3(1)</w:t>
      </w:r>
      <w:r>
        <w:rPr>
          <w:rFonts w:ascii="Times New Roman" w:hAnsi="Times New Roman"/>
          <w:b w:val="false"/>
          <w:i w:val="false"/>
          <w:color w:val="000000"/>
          <w:sz w:val="22"/>
        </w:rPr>
        <w:t> </w:t>
      </w:r>
      <w:r>
        <w:rPr>
          <w:rFonts w:ascii="Times New Roman" w:hAnsi="Times New Roman"/>
          <w:b w:val="false"/>
          <w:i w:val="false"/>
          <w:color w:val="000000"/>
          <w:sz w:val="22"/>
        </w:rPr>
        <w:t>The following violations related to notification, compliance and other state laws constitute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the requirements of </w:t>
      </w:r>
      <w:hyperlink r:id="rId11">
        <w:r>
          <w:rPr>
            <w:rStyle w:val="Hyperlink"/>
            <w:rFonts w:ascii="Times New Roman" w:hAnsi="Times New Roman"/>
            <w:b w:val="false"/>
            <w:i w:val="false"/>
            <w:color w:val="000000"/>
            <w:sz w:val="22"/>
          </w:rPr>
          <w:t>481—Chapter 574</w:t>
        </w:r>
      </w:hyperlink>
      <w:r>
        <w:rPr>
          <w:rFonts w:ascii="Times New Roman" w:hAnsi="Times New Roman"/>
          <w:b w:val="false"/>
          <w:i w:val="false"/>
          <w:color w:val="000000"/>
          <w:sz w:val="22"/>
        </w:rPr>
        <w:t>, except as otherwise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preserve the confidentiality of patient information or accessing any confidential patient information without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Practice of dentistry, dental hygiene or dental assisting beyond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Delegation of any acts to any licensee, registrant or qualified person that are beyond the training or education of the licensee, registrant or qualified person, or that are otherwise prohibited by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requirements related to prescribing, administering or dispensing any drug pursuant to Iowa Code chapter </w:t>
      </w:r>
      <w:hyperlink r:id="rId12">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the provisions of Iowa Code chapter </w:t>
      </w:r>
      <w:hyperlink r:id="rId13">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that are applicable to the practice of dentistry, and </w:t>
      </w:r>
      <w:hyperlink r:id="rId14">
        <w:r>
          <w:rPr>
            <w:rStyle w:val="Hyperlink"/>
            <w:rFonts w:ascii="Times New Roman" w:hAnsi="Times New Roman"/>
            <w:b w:val="false"/>
            <w:i w:val="false"/>
            <w:color w:val="000000"/>
            <w:sz w:val="22"/>
          </w:rPr>
          <w:t>481—Chapter 578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Improper sexual contact with, or making suggestive, lewd, lascivious or improper remarks or advances to, a patient or a coworker;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Actions that are abusive, coercive, intimidating, harassing, untruthful or threatening in the practice of dentistry;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an order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581.3(2)</w:t>
      </w:r>
      <w:r>
        <w:rPr>
          <w:rFonts w:ascii="Times New Roman" w:hAnsi="Times New Roman"/>
          <w:b w:val="false"/>
          <w:i w:val="false"/>
          <w:color w:val="000000"/>
          <w:sz w:val="22"/>
        </w:rPr>
        <w:t> </w:t>
      </w:r>
      <w:r>
        <w:rPr>
          <w:rFonts w:ascii="Times New Roman" w:hAnsi="Times New Roman"/>
          <w:b w:val="false"/>
          <w:i w:val="false"/>
          <w:color w:val="000000"/>
          <w:sz w:val="22"/>
        </w:rPr>
        <w:t>The following violations related to infection control constitute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maintain adequate safety and sanitary conditions for a dental office;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standard precautions for preventing and controlling infectious diseases and managing personnel health and safety concerns related to infection control, as required or recommended for dentistry by the Centers for Disease Control and Prevention of the United States Department of Health and Human Services and the Iowa occupational safety and health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581.3(3)</w:t>
      </w:r>
      <w:r>
        <w:rPr>
          <w:rFonts w:ascii="Times New Roman" w:hAnsi="Times New Roman"/>
          <w:b w:val="false"/>
          <w:i w:val="false"/>
          <w:color w:val="000000"/>
          <w:sz w:val="22"/>
        </w:rPr>
        <w:t> </w:t>
      </w:r>
      <w:r>
        <w:rPr>
          <w:rFonts w:ascii="Times New Roman" w:hAnsi="Times New Roman"/>
          <w:b w:val="false"/>
          <w:i w:val="false"/>
          <w:color w:val="000000"/>
          <w:sz w:val="22"/>
        </w:rPr>
        <w:t>Violations related to continuing education constitute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respond to the board during a continuing education audit, or failure to submit verification of continuing education requirements within the time period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Knowingly submitting a false report of continuing education;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meet the required continuing education hours per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581.3(4)</w:t>
      </w:r>
      <w:r>
        <w:rPr>
          <w:rFonts w:ascii="Times New Roman" w:hAnsi="Times New Roman"/>
          <w:b w:val="false"/>
          <w:i w:val="false"/>
          <w:color w:val="000000"/>
          <w:sz w:val="22"/>
        </w:rPr>
        <w:t> </w:t>
      </w:r>
      <w:r>
        <w:rPr>
          <w:rFonts w:ascii="Times New Roman" w:hAnsi="Times New Roman"/>
          <w:b w:val="false"/>
          <w:i w:val="false"/>
          <w:color w:val="000000"/>
          <w:sz w:val="22"/>
        </w:rPr>
        <w:t>Violations related to board investigations constitute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Interference with, or knowingly providing false information to the board or an agent of the board related to, an inspection or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subpoena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fully and promptly comply with office inspections conducted at the request of the board to determine compliance with sanitation and infection control standards or sedation permit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cooperate with a board investigation;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Retaliating against, threatening or coercing any person for filing a complaint with the board or cooperating with a board inspection or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581.3(5)</w:t>
      </w:r>
      <w:r>
        <w:rPr>
          <w:rFonts w:ascii="Times New Roman" w:hAnsi="Times New Roman"/>
          <w:b w:val="false"/>
          <w:i w:val="false"/>
          <w:color w:val="000000"/>
          <w:sz w:val="22"/>
        </w:rPr>
        <w:t> </w:t>
      </w:r>
      <w:r>
        <w:rPr>
          <w:rFonts w:ascii="Times New Roman" w:hAnsi="Times New Roman"/>
          <w:b w:val="false"/>
          <w:i w:val="false"/>
          <w:color w:val="000000"/>
          <w:sz w:val="22"/>
        </w:rPr>
        <w:t>The following violations may constitute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of change of name or address within 60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prominently display the names of all persons who are practicing dentistry, dental hygiene or dental assisting within an office;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Giving or receiving cash or cash equivalents, or giving or receiving any gifts exceeding nominal value, for referral of patients.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8995C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3/4/26</w:t>
      </w:r>
      <w:r>
        <w:rPr>
          <w:rFonts w:ascii="Times New Roman" w:hAnsi="Times New Roman"/>
          <w:b w:val="false"/>
          <w:i w:val="false"/>
          <w:color w:val="000000"/>
          <w:sz w:val="16"/>
        </w:rPr>
        <w:t xml:space="preserve">; </w:t>
      </w:r>
      <w:r>
        <w:rPr>
          <w:rFonts w:ascii="Times New Roman" w:hAnsi="Times New Roman"/>
          <w:b/>
          <w:i w:val="false"/>
          <w:color w:val="000000"/>
          <w:sz w:val="16"/>
        </w:rPr>
        <w:t>ARC 0247D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1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pdf" Type="http://schemas.openxmlformats.org/officeDocument/2006/relationships/hyperlink" Id="rId4"/>
    <Relationship TargetMode="External" Target="https://www.legis.iowa.gov/docs/ico/chapter/147.55.pdf" Type="http://schemas.openxmlformats.org/officeDocument/2006/relationships/hyperlink" Id="rId5"/>
    <Relationship TargetMode="External" Target="https://www.legis.iowa.gov/docs/ico/chapter/153.32.pdf" Type="http://schemas.openxmlformats.org/officeDocument/2006/relationships/hyperlink" Id="rId6"/>
    <Relationship TargetMode="External" Target="https://www.legis.iowa.gov/docs/ico/chapter/153.34.pdf" Type="http://schemas.openxmlformats.org/officeDocument/2006/relationships/hyperlink" Id="rId7"/>
    <Relationship TargetMode="External" Target="https://www.legis.iowa.gov/docs/ico/chapter/272C.15.pdf" Type="http://schemas.openxmlformats.org/officeDocument/2006/relationships/hyperlink" Id="rId8"/>
    <Relationship TargetMode="External" Target="https://www.legis.iowa.gov/docs/iac/rule/481.581.1.pdf" Type="http://schemas.openxmlformats.org/officeDocument/2006/relationships/hyperlink" Id="rId9"/>
    <Relationship TargetMode="External" Target="https://www.legis.iowa.gov/docs/iac/chapter/7.2504.pdf" Type="http://schemas.openxmlformats.org/officeDocument/2006/relationships/hyperlink" Id="rId10"/>
    <Relationship TargetMode="External" Target="https://www.legis.iowa.gov/docs/iac/chapter/481.574.pdf" Type="http://schemas.openxmlformats.org/officeDocument/2006/relationships/hyperlink" Id="rId11"/>
    <Relationship TargetMode="External" Target="https://www.legis.iowa.gov/docs/ico/chapter/124.pdf" Type="http://schemas.openxmlformats.org/officeDocument/2006/relationships/hyperlink" Id="rId12"/>
    <Relationship TargetMode="External" Target="https://www.legis.iowa.gov/docs/ico/chapter/155A.pdf" Type="http://schemas.openxmlformats.org/officeDocument/2006/relationships/hyperlink" Id="rId13"/>
    <Relationship TargetMode="External" Target="https://www.legis.iowa.gov/docs/iac/chapter/481.578.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