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481—574.21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chapter, except for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(147,153,272C),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(147,153,272C),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(153),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(153),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(153),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(153),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481—574.19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(153), are not subject to waiver pursuant to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3/5/25, effective 4/9/25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74.3.pdf" Type="http://schemas.openxmlformats.org/officeDocument/2006/relationships/hyperlink" Id="rId4"/>
    <Relationship TargetMode="External" Target="https://www.legis.iowa.gov/docs/iac/rule/481.574.4.pdf" Type="http://schemas.openxmlformats.org/officeDocument/2006/relationships/hyperlink" Id="rId5"/>
    <Relationship TargetMode="External" Target="https://www.legis.iowa.gov/docs/iac/rule/481.574.11.pdf" Type="http://schemas.openxmlformats.org/officeDocument/2006/relationships/hyperlink" Id="rId6"/>
    <Relationship TargetMode="External" Target="https://www.legis.iowa.gov/docs/iac/rule/481.574.15.pdf" Type="http://schemas.openxmlformats.org/officeDocument/2006/relationships/hyperlink" Id="rId7"/>
    <Relationship TargetMode="External" Target="https://www.legis.iowa.gov/docs/iac/rule/481.574.16.pdf" Type="http://schemas.openxmlformats.org/officeDocument/2006/relationships/hyperlink" Id="rId8"/>
    <Relationship TargetMode="External" Target="https://www.legis.iowa.gov/docs/iac/rule/481.574.18.pdf" Type="http://schemas.openxmlformats.org/officeDocument/2006/relationships/hyperlink" Id="rId9"/>
    <Relationship TargetMode="External" Target="https://www.legis.iowa.gov/docs/iac/rule/481.574.19.pdf" Type="http://schemas.openxmlformats.org/officeDocument/2006/relationships/hyperlink" Id="rId10"/>
    <Relationship TargetMode="External" Target="https://www.legis.iowa.gov/docs/iac/chapter/7.2504.pdf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