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481—506.19</w:t>
      </w:r>
      <w:r>
        <w:rPr>
          <w:rFonts w:ascii="Times New Roman" w:hAnsi="Times New Roman"/>
          <w:b/>
          <w:i w:val="false"/>
          <w:color w:val="000000"/>
          <w:sz w:val="22"/>
        </w:rPr>
        <w:t xml:space="preserve">(17A,272C) </w:t>
      </w:r>
      <w:r>
        <w:rPr>
          <w:rFonts w:ascii="Times New Roman" w:hAnsi="Times New Roman"/>
          <w:b/>
          <w:i w:val="false"/>
          <w:color w:val="000000"/>
          <w:sz w:val="22"/>
        </w:rPr>
        <w:t xml:space="preserve">Hearing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506.19(1)</w:t>
      </w:r>
      <w:r>
        <w:rPr>
          <w:rFonts w:ascii="Times New Roman" w:hAnsi="Times New Roman"/>
          <w:b w:val="false"/>
          <w:i w:val="false"/>
          <w:color w:val="000000"/>
          <w:sz w:val="22"/>
        </w:rPr>
        <w:t> </w:t>
      </w:r>
      <w:r>
        <w:rPr>
          <w:rFonts w:ascii="Times New Roman" w:hAnsi="Times New Roman"/>
          <w:b w:val="false"/>
          <w:i w:val="false"/>
          <w:color w:val="000000"/>
          <w:sz w:val="22"/>
        </w:rPr>
        <w:t xml:space="preserve">Hearings are conducted before a quorum of the board or an administrative law judge.  With respect to contested cases before the board of medicine, if an insufficient number of board members are available to hear a contested case, the executive director, or designee, may request alternate members as defined in rule </w:t>
      </w:r>
      <w:hyperlink r:id="rId4">
        <w:r>
          <w:rPr>
            <w:rStyle w:val="Hyperlink"/>
            <w:rFonts w:ascii="Times New Roman" w:hAnsi="Times New Roman"/>
            <w:b w:val="false"/>
            <w:i w:val="false"/>
            <w:color w:val="000000"/>
            <w:sz w:val="22"/>
          </w:rPr>
          <w:t>481—650.1</w:t>
        </w:r>
      </w:hyperlink>
      <w:r>
        <w:rPr>
          <w:rFonts w:ascii="Times New Roman" w:hAnsi="Times New Roman"/>
          <w:b w:val="false"/>
          <w:i w:val="false"/>
          <w:color w:val="000000"/>
          <w:sz w:val="22"/>
        </w:rPr>
        <w:t xml:space="preserve">(17A,147) and Iowa Code sections </w:t>
      </w:r>
      <w:hyperlink r:id="rId5">
        <w:r>
          <w:rPr>
            <w:rStyle w:val="Hyperlink"/>
            <w:rFonts w:ascii="Times New Roman" w:hAnsi="Times New Roman"/>
            <w:b w:val="false"/>
            <w:i w:val="false"/>
            <w:color w:val="000000"/>
            <w:sz w:val="22"/>
          </w:rPr>
          <w:t>148.2A</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148.7(4)</w:t>
        </w:r>
      </w:hyperlink>
      <w:r>
        <w:rPr>
          <w:rFonts w:ascii="Times New Roman" w:hAnsi="Times New Roman"/>
          <w:b w:val="false"/>
          <w:i w:val="false"/>
          <w:color w:val="000000"/>
          <w:sz w:val="22"/>
        </w:rPr>
        <w:t xml:space="preserve"> to serve on the hearing panel.  A hearing panel must include at least six members, at least half of whom must be current board members and at least half of whom must be licensed to practice medicine under Iowa Code chapter </w:t>
      </w:r>
      <w:hyperlink r:id="rId7">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506.19(2)</w:t>
      </w:r>
      <w:r>
        <w:rPr>
          <w:rFonts w:ascii="Times New Roman" w:hAnsi="Times New Roman"/>
          <w:b w:val="false"/>
          <w:i w:val="false"/>
          <w:color w:val="000000"/>
          <w:sz w:val="22"/>
        </w:rPr>
        <w:t> </w:t>
      </w:r>
      <w:r>
        <w:rPr>
          <w:rFonts w:ascii="Times New Roman" w:hAnsi="Times New Roman"/>
          <w:b w:val="false"/>
          <w:i w:val="false"/>
          <w:color w:val="000000"/>
          <w:sz w:val="22"/>
        </w:rPr>
        <w:t>The presiding officer has the authority to administer oaths, to admit or exclude testimony or other evidence, and to rule on all motions and objections. The board may request that an administrative law judge perform any of these functions and may be assisted and advised by an administrative law judge.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506.19(3)</w:t>
      </w:r>
      <w:r>
        <w:rPr>
          <w:rFonts w:ascii="Times New Roman" w:hAnsi="Times New Roman"/>
          <w:b w:val="false"/>
          <w:i w:val="false"/>
          <w:color w:val="000000"/>
          <w:sz w:val="22"/>
        </w:rPr>
        <w:t> </w:t>
      </w:r>
      <w:r>
        <w:rPr>
          <w:rFonts w:ascii="Times New Roman" w:hAnsi="Times New Roman"/>
          <w:b w:val="false"/>
          <w:i w:val="false"/>
          <w:color w:val="000000"/>
          <w:sz w:val="22"/>
        </w:rPr>
        <w:t>All objections will be timely made and stated on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506.19(4)</w:t>
      </w:r>
      <w:r>
        <w:rPr>
          <w:rFonts w:ascii="Times New Roman" w:hAnsi="Times New Roman"/>
          <w:b w:val="false"/>
          <w:i w:val="false"/>
          <w:color w:val="000000"/>
          <w:sz w:val="22"/>
        </w:rPr>
        <w:t> </w:t>
      </w:r>
      <w:r>
        <w:rPr>
          <w:rFonts w:ascii="Times New Roman" w:hAnsi="Times New Roman"/>
          <w:b w:val="false"/>
          <w:i w:val="false"/>
          <w:color w:val="000000"/>
          <w:sz w:val="22"/>
        </w:rPr>
        <w:t xml:space="preserve">Parties have the right to participate or to be represented in all hearings or prehearing conferences related to their case.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506.19(5)</w:t>
      </w:r>
      <w:r>
        <w:rPr>
          <w:rFonts w:ascii="Times New Roman" w:hAnsi="Times New Roman"/>
          <w:b w:val="false"/>
          <w:i w:val="false"/>
          <w:color w:val="000000"/>
          <w:sz w:val="22"/>
        </w:rPr>
        <w:t> </w:t>
      </w:r>
      <w:r>
        <w:rPr>
          <w:rFonts w:ascii="Times New Roman" w:hAnsi="Times New Roman"/>
          <w:b w:val="false"/>
          <w:i w:val="false"/>
          <w:color w:val="000000"/>
          <w:sz w:val="22"/>
        </w:rPr>
        <w:t xml:space="preserve">Subject to terms and conditions prescribed by the presiding officer, parties have the right to introduce evidence on issues of material fact, cross-examine witnesses present at the hearing as necessary for a full and true disclosure of the facts, present evidence in rebuttal, and submit briefs and engage in oral argument.  Subject to terms and conditions prescribed by the presiding officer, parties may present the testimony of witnesses by affidavit, by written or video deposition, in person, by telephone, or by videoconference.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506.19(6)</w:t>
      </w:r>
      <w:r>
        <w:rPr>
          <w:rFonts w:ascii="Times New Roman" w:hAnsi="Times New Roman"/>
          <w:b w:val="false"/>
          <w:i w:val="false"/>
          <w:color w:val="000000"/>
          <w:sz w:val="22"/>
        </w:rPr>
        <w:t> </w:t>
      </w:r>
      <w:r>
        <w:rPr>
          <w:rFonts w:ascii="Times New Roman" w:hAnsi="Times New Roman"/>
          <w:b w:val="false"/>
          <w:i w:val="false"/>
          <w:color w:val="000000"/>
          <w:sz w:val="22"/>
        </w:rPr>
        <w:t>The presiding officer maintains the decorum of the hearing and may refuse to admit or may expel anyone whose conduct is disorderly.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506.19(7)</w:t>
      </w:r>
      <w:r>
        <w:rPr>
          <w:rFonts w:ascii="Times New Roman" w:hAnsi="Times New Roman"/>
          <w:b w:val="false"/>
          <w:i w:val="false"/>
          <w:color w:val="000000"/>
          <w:sz w:val="22"/>
        </w:rPr>
        <w:t> </w:t>
      </w:r>
      <w:r>
        <w:rPr>
          <w:rFonts w:ascii="Times New Roman" w:hAnsi="Times New Roman"/>
          <w:b w:val="false"/>
          <w:i w:val="false"/>
          <w:color w:val="000000"/>
          <w:sz w:val="22"/>
        </w:rPr>
        <w:t>Witnesses may be sequestered during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506.19(8)</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presiding officer has the authority to grant immunity from disciplinary action to a witness as provided by Iowa Code section </w:t>
      </w:r>
      <w:hyperlink r:id="rId8">
        <w:r>
          <w:rPr>
            <w:rStyle w:val="Hyperlink"/>
            <w:rFonts w:ascii="Times New Roman" w:hAnsi="Times New Roman"/>
            <w:b w:val="false"/>
            <w:i w:val="false"/>
            <w:color w:val="000000"/>
            <w:sz w:val="22"/>
          </w:rPr>
          <w:t>272C.6(3)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506.19(9)</w:t>
      </w:r>
      <w:r>
        <w:rPr>
          <w:rFonts w:ascii="Times New Roman" w:hAnsi="Times New Roman"/>
          <w:b w:val="false"/>
          <w:i w:val="false"/>
          <w:color w:val="000000"/>
          <w:sz w:val="22"/>
        </w:rPr>
        <w:t> </w:t>
      </w:r>
      <w:r>
        <w:rPr>
          <w:rFonts w:ascii="Times New Roman" w:hAnsi="Times New Roman"/>
          <w:b w:val="false"/>
          <w:i w:val="false"/>
          <w:color w:val="000000"/>
          <w:sz w:val="22"/>
        </w:rPr>
        <w:t>The presiding officer conducts the hearing in the following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presiding officer gives an opening statement briefly describing the nature of the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parties are given an opportunity to present opening statements;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parties present their cases in the sequence determined by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Each witness is sworn or affirmed by the presiding officer or the court reporter and subject to examination and cross-examination. The presiding officer may limit questioning in a manner consistent with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When all parties and witnesses have been heard, the parties may be given the opportunity to present final arguments.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506.19(10)</w:t>
      </w:r>
      <w:r>
        <w:rPr>
          <w:rFonts w:ascii="Times New Roman" w:hAnsi="Times New Roman"/>
          <w:b w:val="false"/>
          <w:i w:val="false"/>
          <w:color w:val="000000"/>
          <w:sz w:val="22"/>
        </w:rPr>
        <w:t> </w:t>
      </w:r>
      <w:r>
        <w:rPr>
          <w:rFonts w:ascii="Times New Roman" w:hAnsi="Times New Roman"/>
          <w:b w:val="false"/>
          <w:i w:val="false"/>
          <w:color w:val="000000"/>
          <w:sz w:val="22"/>
        </w:rPr>
        <w:t>The board members and the administrative law judge have the right to question a witness. Examination of witnesses is subject to properly raised objections.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506.19(11)</w:t>
      </w:r>
      <w:r>
        <w:rPr>
          <w:rFonts w:ascii="Times New Roman" w:hAnsi="Times New Roman"/>
          <w:b w:val="false"/>
          <w:i w:val="false"/>
          <w:color w:val="000000"/>
          <w:sz w:val="22"/>
        </w:rPr>
        <w:t> </w:t>
      </w:r>
      <w:r>
        <w:rPr>
          <w:rFonts w:ascii="Times New Roman" w:hAnsi="Times New Roman"/>
          <w:b w:val="false"/>
          <w:i w:val="false"/>
          <w:color w:val="000000"/>
          <w:sz w:val="22"/>
        </w:rPr>
        <w:t>The hearing will be open to the public unless the licensee requests that the hearing be closed.  At the request of either party, or on the board’s own motion, the presiding officer may issue a protective order to protect documents that are privileged or confidential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506.19(12)</w:t>
      </w:r>
      <w:r>
        <w:rPr>
          <w:rFonts w:ascii="Times New Roman" w:hAnsi="Times New Roman"/>
          <w:b w:val="false"/>
          <w:i w:val="false"/>
          <w:color w:val="000000"/>
          <w:sz w:val="22"/>
        </w:rPr>
        <w:t> </w:t>
      </w:r>
      <w:r>
        <w:rPr>
          <w:rFonts w:ascii="Times New Roman" w:hAnsi="Times New Roman"/>
          <w:b w:val="false"/>
          <w:i w:val="false"/>
          <w:color w:val="000000"/>
          <w:sz w:val="22"/>
        </w:rPr>
        <w:t xml:space="preserve">Contested case hearings shall be recorded by electronic means or by a certified shorthand reporter. A party may request that a hearing be recorded by a certified shorthand reporter instead of through electronic means by filing a request with the board at least 14 days in advance of the hearing. Parties who request that a hearing be recorded by a certified shorthand reporter rather than by electronic means shall bear the cost of the certified shorthand reporter. Upon request, the board shall provide a copy of the whole or any portion of the record costs. The cost of preparing a copy of the record or of transcribing the hearing record shall be paid by the requesting party. If the request for the hearing record is made as a result of a petition for judicial review, the party who filed the petition shall be considered the requesting party.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9106C</w:t>
      </w:r>
      <w:r>
        <w:rPr>
          <w:rFonts w:ascii="Times New Roman" w:hAnsi="Times New Roman"/>
          <w:b w:val="false"/>
          <w:i w:val="false"/>
          <w:color w:val="000000"/>
          <w:sz w:val="16"/>
        </w:rPr>
        <w:t>, IAB 4/16/25, effective 3/28/25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8/5/26</w:t>
      </w:r>
      <w:r>
        <w:rPr>
          <w:rFonts w:ascii="Times New Roman" w:hAnsi="Times New Roman"/>
          <w:b w:val="false"/>
          <w:i w:val="false"/>
          <w:color w:val="000000"/>
          <w:sz w:val="16"/>
        </w:rPr>
        <w:t>]</w:t>
      </w:r>
    </w:p>
    <w:sectPr>
      <w:footerReference r:id="rId9"/>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81.650.1.pdf" Type="http://schemas.openxmlformats.org/officeDocument/2006/relationships/hyperlink" Id="rId4"/>
    <Relationship TargetMode="External" Target="https://www.legis.iowa.gov/docs/ico/chapter/148.2A.pdf" Type="http://schemas.openxmlformats.org/officeDocument/2006/relationships/hyperlink" Id="rId5"/>
    <Relationship TargetMode="External" Target="https://www.legis.iowa.gov/docs/ico/chapter/148.7.pdf" Type="http://schemas.openxmlformats.org/officeDocument/2006/relationships/hyperlink" Id="rId6"/>
    <Relationship TargetMode="External" Target="https://www.legis.iowa.gov/docs/ico/chapter/148.pdf" Type="http://schemas.openxmlformats.org/officeDocument/2006/relationships/hyperlink" Id="rId7"/>
    <Relationship TargetMode="External" Target="https://www.legis.iowa.gov/docs/ico/chapter/272C.6.pdf" Type="http://schemas.openxmlformats.org/officeDocument/2006/relationships/hyperlink" Id="rId8"/>
    <Relationship Target="footer.xml" Type="http://schemas.openxmlformats.org/officeDocument/2006/relationships/footer"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