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481—50.6</w:t>
      </w:r>
      <w:r>
        <w:rPr>
          <w:rFonts w:ascii="Times New Roman" w:hAnsi="Times New Roman"/>
          <w:b/>
          <w:i w:val="false"/>
          <w:color w:val="000000"/>
          <w:sz w:val="22"/>
        </w:rPr>
        <w:t xml:space="preserve">(10A) </w:t>
      </w:r>
      <w:r>
        <w:rPr>
          <w:rFonts w:ascii="Times New Roman" w:hAnsi="Times New Roman"/>
          <w:b/>
          <w:i w:val="false"/>
          <w:color w:val="000000"/>
          <w:sz w:val="22"/>
        </w:rPr>
        <w:t xml:space="preserve">Formal hearing. </w:t>
      </w:r>
      <w:r>
        <w:rPr>
          <w:rFonts w:ascii="Times New Roman" w:hAnsi="Times New Roman"/>
          <w:b w:val="false"/>
          <w:i w:val="false"/>
          <w:color w:val="000000"/>
          <w:sz w:val="22"/>
        </w:rPr>
        <w:t xml:space="preserve">All decisions of the division may be contested. Appeals and hearings are controlled by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“Contested Cases,” and </w:t>
      </w:r>
      <w:hyperlink r:id="rId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“Rules of Procedure and Practice Before the Administrative Hearings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hearing officer becomes final 15 days after it is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val="false"/>
          <w:color w:val="000000"/>
          <w:sz w:val="22"/>
        </w:rPr>
        <w:t>Any request for administrative review of a proposed decision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made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mailed by certified mail to the director, within 15 days after the proposed decision was mailed to the aggrieved party,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the reason(s) for the request.</w:t>
      </w:r>
    </w:p>
    <w:p>
      <w:pPr>
        <w:spacing w:before="0" w:after="0"/>
        <w:ind w:left="120"/>
        <w:jc w:val="both"/>
      </w:pPr>
      <w:r>
        <w:rPr>
          <w:rFonts w:ascii="Times New Roman" w:hAnsi="Times New Roman"/>
          <w:b w:val="false"/>
          <w:i w:val="false"/>
          <w:color w:val="000000"/>
          <w:sz w:val="22"/>
        </w:rPr>
        <w:t>A copy shall also be sent to the hearing officer at the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shall be based upon the record and becomes final agency action upon mailing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val="false"/>
          <w:color w:val="000000"/>
          <w:sz w:val="22"/>
        </w:rPr>
        <w:t>The fees of witnesses for attendance and travel shall be the same as the fees for witnesses before the district court and shall be paid by the party to the proceeding at whose request the subpoena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chapter/481.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