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storage, and data processing systems. </w:t>
      </w:r>
      <w:r>
        <w:rPr>
          <w:rFonts w:ascii="Times New Roman" w:hAnsi="Times New Roman"/>
          <w:b w:val="false"/>
          <w:i w:val="false"/>
          <w:color w:val="000000"/>
          <w:sz w:val="22"/>
        </w:rPr>
        <w:t xml:space="preserve">The department maintains systems of records that contain personally identifiable information. Records are collected in accordance with the agency’s duties set forth in Iowa Code chapters </w:t>
      </w:r>
      <w:hyperlink r:id="rId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other state and federal law governing programs administered by the agency. Specific personally identifiable information collected and the agency’s authority to collect said information is contained in pertinent Iowa Code sections and Iowa Administrative Code rules governing such programs. The department stores information in paper and on a cloud-based system and other electronic data management and storage systems. All data processing systems that have common data elements can potentially match, collate, and compare personally identifiable information as appropriate and legally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272C.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