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481—492.16</w:t>
      </w:r>
      <w:r>
        <w:rPr>
          <w:rFonts w:ascii="Times New Roman" w:hAnsi="Times New Roman"/>
          <w:b/>
          <w:i w:val="false"/>
          <w:color w:val="000000"/>
          <w:sz w:val="22"/>
        </w:rPr>
        <w:t xml:space="preserve">(10A) </w:t>
      </w:r>
      <w:r>
        <w:rPr>
          <w:rFonts w:ascii="Times New Roman" w:hAnsi="Times New Roman"/>
          <w:b/>
          <w:i w:val="false"/>
          <w:color w:val="000000"/>
          <w:sz w:val="22"/>
        </w:rPr>
        <w:t xml:space="preserve">Adverse actions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492.16(1)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abide by Iowa Code section </w:t>
      </w:r>
      <w:hyperlink r:id="rId4">
        <w:r>
          <w:rPr>
            <w:rStyle w:val="Hyperlink"/>
            <w:rFonts w:ascii="Times New Roman" w:hAnsi="Times New Roman"/>
            <w:b w:val="false"/>
            <w:i w:val="false"/>
            <w:color w:val="000000"/>
            <w:sz w:val="22"/>
          </w:rPr>
          <w:t>10A.531</w:t>
        </w:r>
      </w:hyperlink>
      <w:r>
        <w:rPr>
          <w:rFonts w:ascii="Times New Roman" w:hAnsi="Times New Roman"/>
          <w:b w:val="false"/>
          <w:i w:val="false"/>
          <w:color w:val="000000"/>
          <w:sz w:val="22"/>
        </w:rPr>
        <w:t xml:space="preserve"> or this chapter may result in adverse action, including the denial or revocation of a permit, or an order to cease operations until necessary corrective action has been taken. If the establishment continues to be operated in violation of the order of the department, the department may refer the matter to the county attorney or attorney general for injunction, criminal penalties, or other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are particular instances that may result in adverse action as set forth in subrule </w:t>
      </w:r>
      <w:hyperlink r:id="rId5">
        <w:r>
          <w:rPr>
            <w:rStyle w:val="Hyperlink"/>
            <w:rFonts w:ascii="Times New Roman" w:hAnsi="Times New Roman"/>
            <w:b w:val="false"/>
            <w:i w:val="false"/>
            <w:color w:val="000000"/>
            <w:sz w:val="22"/>
          </w:rPr>
          <w:t>492.16(1)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material misstatement in the application, renewal, or any supplementary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pay fees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Operation without a current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Falsification of records, qualifications, or other information related to permitting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correct any violation identified during an inspection that jeopardizes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profession or engaging in unethical conduct or practice harmful or detrimental to the public. Proof of actual injury need not be established. Acts that may constitute unethical conduct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Verbally or physically abusing a patron.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Improper sexual contact with, sexual harassment of, or improper sexual advances upon a patron. Sexual harassment includes sexual solicitation, requests for sexual favors, and other verbal or physical conduct of a sexual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Betrayal of a professional confidence.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Failing to cooperate with an investigation or engaging in conduct attempting to subvert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tattooing.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tattoo artist when one’s permit has been denied, suspended, revoked, lapsed, or placed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Mental or physical inability reasonably related to and adversely affecting the tattoo artist’s ability to practice in a safe and competent manner.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Habitual intoxication or addiction to drugs, including habitual or excessive use of drugs or alcohol that impair a tattoo artist’s ability to practice with reasonable skill or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Obtaining, possessing, attempting to obtain or possess, or administering controlled substances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Violating a statute of this state or another jurisdiction relating to the provision of tattooing, including but not limited to crimes involving dishonesty, fraud, theft, embezzlement, controlled substances, substance abuse, assault, sexual abuse, sexual misconduct, or homicide. A copy of the record of conviction or plea of guilty is conclusive evidence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Having a certification or permit to practice tattooing suspended or revoked, or other disciplinary action taken by a licensing, certifying, or permitting authority in any jurisdiction. A copy of the record or order of suspension, revocation or disciplinary action is conclusive or prima facie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standard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Failure to appropriately respond to written communication from the department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492.16(3)</w:t>
      </w:r>
      <w:r>
        <w:rPr>
          <w:rFonts w:ascii="Times New Roman" w:hAnsi="Times New Roman"/>
          <w:b w:val="false"/>
          <w:i w:val="false"/>
          <w:color w:val="000000"/>
          <w:sz w:val="22"/>
        </w:rPr>
        <w:t> </w:t>
      </w:r>
      <w:r>
        <w:rPr>
          <w:rFonts w:ascii="Times New Roman" w:hAnsi="Times New Roman"/>
          <w:b w:val="false"/>
          <w:i w:val="false"/>
          <w:color w:val="000000"/>
          <w:sz w:val="22"/>
        </w:rPr>
        <w:t>Notice of issuance of a denial, revocation, or order to cease operations will be served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492.16(4)</w:t>
      </w:r>
      <w:r>
        <w:rPr>
          <w:rFonts w:ascii="Times New Roman" w:hAnsi="Times New Roman"/>
          <w:b w:val="false"/>
          <w:i w:val="false"/>
          <w:color w:val="000000"/>
          <w:sz w:val="22"/>
        </w:rPr>
        <w:t> </w:t>
      </w:r>
      <w:r>
        <w:rPr>
          <w:rFonts w:ascii="Times New Roman" w:hAnsi="Times New Roman"/>
          <w:b w:val="false"/>
          <w:i w:val="false"/>
          <w:color w:val="000000"/>
          <w:sz w:val="22"/>
        </w:rPr>
        <w:t xml:space="preserve">An aggrieved party may request a contested case appeal in writing to the department within 20 days from the date of the aggrieved party’s receipt of the department’s order. </w:t>
      </w:r>
      <w:hyperlink r:id="rId6">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are applicable to contested case appeals.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A.531.pdf" Type="http://schemas.openxmlformats.org/officeDocument/2006/relationships/hyperlink" Id="rId4"/>
    <Relationship TargetMode="External" Target="https://www.legis.iowa.gov/docs/iac/rule/481.492.16.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ac/chapter/481.10.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