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481—485.7</w:t>
      </w:r>
      <w:r>
        <w:rPr>
          <w:rFonts w:ascii="Times New Roman" w:hAnsi="Times New Roman"/>
          <w:b/>
          <w:i w:val="false"/>
          <w:color w:val="000000"/>
          <w:sz w:val="22"/>
        </w:rPr>
        <w:t xml:space="preserve">(135I)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waiver from these rules may be granted only by the department pursuant to </w:t>
      </w:r>
      <w:hyperlink r:id="rId4">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 request for waiver shall be in writing and sent to the local inspection agency for comment. The local inspection agency shall send the request for waiver to the department within 15 business days of its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