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481—485.6</w:t>
      </w:r>
      <w:r>
        <w:rPr>
          <w:rFonts w:ascii="Times New Roman" w:hAnsi="Times New Roman"/>
          <w:b/>
          <w:i w:val="false"/>
          <w:color w:val="000000"/>
          <w:sz w:val="22"/>
        </w:rPr>
        <w:t xml:space="preserve">(135I)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spray pads, swimming pools, and spas regulated by these rules and enforce these rules. A city, county or district board of health may inspect spray pads, swimming pools, and spas regulated by these rules and enforce these rules in accordance with agreements executed with the department pursuant to the authority of Iowa Code chapters </w:t>
      </w:r>
      <w:hyperlink r:id="rId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485.6(2)</w:t>
      </w:r>
      <w:r>
        <w:rPr>
          <w:rFonts w:ascii="Times New Roman" w:hAnsi="Times New Roman"/>
          <w:b w:val="false"/>
          <w:i w:val="false"/>
          <w:color w:val="000000"/>
          <w:sz w:val="22"/>
        </w:rPr>
        <w:t> </w:t>
      </w:r>
      <w:r>
        <w:rPr>
          <w:rFonts w:ascii="Times New Roman" w:hAnsi="Times New Roman"/>
          <w:b w:val="false"/>
          <w:i w:val="false"/>
          <w:color w:val="000000"/>
          <w:sz w:val="22"/>
        </w:rPr>
        <w:t>The inspection agency will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As soon as possible after the violations are noted, the inspection agency will provide written notification to the owner of the facility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Specifies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facility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require that it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When the owner of a spray pad, swimming pool, or spa fails to comply with conditions of the written notice, the inspection agency may take enforcement action in accordance with Iowa Code chapters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or in accordance with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r>
        <w:rPr>
          <w:rFonts w:ascii="Times New Roman" w:hAnsi="Times New Roman"/>
          <w:b w:val="false"/>
          <w:i w:val="false"/>
          <w:color w:val="000000"/>
          <w:sz w:val="22"/>
        </w:rPr>
        <w:t xml:space="preserve">The department may enforce Iowa Code chapter </w:t>
      </w:r>
      <w:hyperlink r:id="rId8">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9">
        <w:r>
          <w:rPr>
            <w:rStyle w:val="Hyperlink"/>
            <w:rFonts w:ascii="Times New Roman" w:hAnsi="Times New Roman"/>
            <w:b w:val="false"/>
            <w:i w:val="false"/>
            <w:color w:val="000000"/>
            <w:sz w:val="22"/>
          </w:rPr>
          <w:t>135I.6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inspection agency may request that the department withhold or revoke the registration of a spray pad, swimming pool, or spa, or issue an order to close a spray pad, swimming pool, or spa. The request shall be in writing, list the violations of Iowa Code chapter </w:t>
      </w:r>
      <w:hyperlink r:id="rId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and provide a full accounting of the actions taken by the local inspection agency to enforce Iowa Code chapter </w:t>
      </w:r>
      <w:hyperlink r:id="rId11">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decision to withhold or revoke the registration for a spray pad, swimming pool, or spa or an order to close a spray pad, swimming pool, or spa will be delivered by restricted certified mail, return receipt requested, or by personal service. The notice will inform the owner of the right to appeal the decision and the appeal procedures. The local inspection agency and the county attorney in the county where the spray pad, swimming pool, or spa is located will be notified in writing of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decision to withhold or revoke a registration or of an order to close shall be requested, in writing, within 30 days of receipt or service of the department’s notice. The request shall be sent to the department at the contact information provided in </w:t>
      </w:r>
      <w:hyperlink r:id="rId12">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or as set forth in the department’s notice. If such a request is timely made within the 30-day time period, a contested case proceeding will be initiated and held in accordance with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E.pdf" Type="http://schemas.openxmlformats.org/officeDocument/2006/relationships/hyperlink" Id="rId4"/>
    <Relationship TargetMode="External" Target="https://www.legis.iowa.gov/docs/ico/chapter/135I.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co/chapter/135I.pdf" Type="http://schemas.openxmlformats.org/officeDocument/2006/relationships/hyperlink" Id="rId7"/>
    <Relationship TargetMode="External" Target="https://www.legis.iowa.gov/docs/ico/chapter/135I.pdf" Type="http://schemas.openxmlformats.org/officeDocument/2006/relationships/hyperlink" Id="rId8"/>
    <Relationship TargetMode="External" Target="https://www.legis.iowa.gov/docs/ico/chapter/135I.6.pdf" Type="http://schemas.openxmlformats.org/officeDocument/2006/relationships/hyperlink" Id="rId9"/>
    <Relationship TargetMode="External" Target="https://www.legis.iowa.gov/docs/ico/chapter/135I.pdf" Type="http://schemas.openxmlformats.org/officeDocument/2006/relationships/hyperlink" Id="rId10"/>
    <Relationship TargetMode="External" Target="https://www.legis.iowa.gov/docs/ico/chapter/135I.pdf" Type="http://schemas.openxmlformats.org/officeDocument/2006/relationships/hyperlink" Id="rId11"/>
    <Relationship TargetMode="External" Target="https://www.legis.iowa.gov/docs/iac/chapter/481.1.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chapter/7.2506.pdf" Type="http://schemas.openxmlformats.org/officeDocument/2006/relationships/hyperlink" Id="rId14"/>
    <Relationship TargetMode="External" Target="https://www.legis.iowa.gov/docs/iac/chapter/481.10.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