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481—470.5</w:t>
      </w:r>
      <w:r>
        <w:rPr>
          <w:rFonts w:ascii="Times New Roman" w:hAnsi="Times New Roman"/>
          <w:b/>
          <w:i w:val="false"/>
          <w:color w:val="000000"/>
          <w:sz w:val="22"/>
        </w:rPr>
        <w:t xml:space="preserve">(10A) </w:t>
      </w:r>
      <w:r>
        <w:rPr>
          <w:rFonts w:ascii="Times New Roman" w:hAnsi="Times New Roman"/>
          <w:b/>
          <w:i w:val="false"/>
          <w:color w:val="000000"/>
          <w:sz w:val="22"/>
        </w:rPr>
        <w:t xml:space="preserve">Certification, interim certification, and recertification. </w:t>
      </w:r>
      <w:r>
        <w:rPr>
          <w:rFonts w:ascii="Times New Roman" w:hAnsi="Times New Roman"/>
          <w:b w:val="false"/>
          <w:i w:val="false"/>
          <w:color w:val="000000"/>
          <w:sz w:val="22"/>
        </w:rPr>
        <w:t>The department issues certifications and recertifications for a three-year time period. Applications for certification or recertification may be made electronically in a format specified by the department or using a paper application supplied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470.5(1)</w:t>
      </w:r>
      <w:r>
        <w:rPr>
          <w:rFonts w:ascii="Times New Roman" w:hAnsi="Times New Roman"/>
          <w:b w:val="false"/>
          <w:i w:val="false"/>
          <w:color w:val="000000"/>
          <w:sz w:val="22"/>
        </w:rPr>
        <w:t> </w:t>
      </w:r>
      <w:r>
        <w:rPr>
          <w:rFonts w:ascii="Times New Roman" w:hAnsi="Times New Roman"/>
          <w:b w:val="false"/>
          <w:i w:val="false"/>
          <w:color w:val="000000"/>
          <w:sz w:val="22"/>
        </w:rPr>
        <w:t>To become a certified lead professional,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certificate of completion of an approved course for the discipline in which the applicant intends to become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intending to become a certified lead inspector/risk assessor or a certified elevated blood lead (EBL) inspector/risk assessor, documentation of successful completion of the manufacturer’s training course or equivalent for the XRF analyzer that the inspector/risk assessor or elevated blood lead (EBL) inspector/risk assessor will use to conduct lead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intending to become a certified elevated blood lead (EBL) inspector/risk assessor, documentation of successful completion of a four-hour elevated blood lead (EBL) inspector/risk assessor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applicant meets the additional experience and education requirements in subrule </w:t>
      </w:r>
      <w:hyperlink r:id="rId4">
        <w:r>
          <w:rPr>
            <w:rStyle w:val="Hyperlink"/>
            <w:rFonts w:ascii="Times New Roman" w:hAnsi="Times New Roman"/>
            <w:b w:val="false"/>
            <w:i w:val="false"/>
            <w:color w:val="000000"/>
            <w:sz w:val="22"/>
          </w:rPr>
          <w:t>470.5(2)</w:t>
        </w:r>
      </w:hyperlink>
      <w:r>
        <w:rPr>
          <w:rFonts w:ascii="Times New Roman" w:hAnsi="Times New Roman"/>
          <w:b w:val="false"/>
          <w:i w:val="false"/>
          <w:color w:val="000000"/>
          <w:sz w:val="22"/>
        </w:rPr>
        <w:t xml:space="preserve"> for the discipline in which the applicant intends to become certified. The following documents will be submitted as evidence that the applicant has the education and work experience required by subrule </w:t>
      </w:r>
      <w:hyperlink r:id="rId5">
        <w:r>
          <w:rPr>
            <w:rStyle w:val="Hyperlink"/>
            <w:rFonts w:ascii="Times New Roman" w:hAnsi="Times New Roman"/>
            <w:b w:val="false"/>
            <w:i w:val="false"/>
            <w:color w:val="000000"/>
            <w:sz w:val="22"/>
          </w:rPr>
          <w:t>470.5(2)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Official transcripts or diplomas as evidence of meeting the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Résumés, letters of reference, or documentation of work experience, as evidence of meeting the work experience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To become certified as a lead inspector/risk assessor, elevated blood lead (EBL) inspector/risk assessor, lead abatement contractor, or project designer, a certificate showing that the applicant has passed the state certification examination in the discipline in which the applicant intends to become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$180 nonrefundable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receive interim certification from the department as a lead inspector/risk assessor, elevated blood lead (EBL) inspector/risk assessor, lead abatement contractor, or project designer by submitting the items required by paragraphs </w:t>
      </w:r>
      <w:hyperlink r:id="rId6">
        <w:r>
          <w:rPr>
            <w:rStyle w:val="Hyperlink"/>
            <w:rFonts w:ascii="Times New Roman" w:hAnsi="Times New Roman"/>
            <w:b w:val="false"/>
            <w:i w:val="false"/>
            <w:color w:val="000000"/>
            <w:sz w:val="22"/>
          </w:rPr>
          <w:t>470.5(1)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xml:space="preserve"> to the department. Interim certification expires six months from the date of completion of an approved course. An applicant may upgrade an interim certification to a certification by submitting a certificate to the department showing that the applicant has passed the state certification examination as required by paragraph </w:t>
      </w:r>
      <w:hyperlink r:id="rId7">
        <w:r>
          <w:rPr>
            <w:rStyle w:val="Hyperlink"/>
            <w:rFonts w:ascii="Times New Roman" w:hAnsi="Times New Roman"/>
            <w:b w:val="false"/>
            <w:i w:val="false"/>
            <w:color w:val="000000"/>
            <w:sz w:val="22"/>
          </w:rPr>
          <w:t>470.5(1)</w:t>
        </w:r>
      </w:hyperlink>
      <w:r>
        <w:rPr>
          <w:rFonts w:ascii="Times New Roman" w:hAnsi="Times New Roman"/>
          <w:b w:val="false"/>
          <w:i/>
          <w:color w:val="000000"/>
          <w:sz w:val="22"/>
        </w:rPr>
        <w:t>“f.”</w:t>
      </w:r>
      <w:r>
        <w:rPr>
          <w:rFonts w:ascii="Times New Roman" w:hAnsi="Times New Roman"/>
          <w:b w:val="false"/>
          <w:i w:val="false"/>
          <w:color w:val="000000"/>
          <w:sz w:val="22"/>
        </w:rPr>
        <w:t xml:space="preserve"> Interim certification is equivalent to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470.5(2)</w:t>
      </w:r>
      <w:r>
        <w:rPr>
          <w:rFonts w:ascii="Times New Roman" w:hAnsi="Times New Roman"/>
          <w:b w:val="false"/>
          <w:i w:val="false"/>
          <w:color w:val="000000"/>
          <w:sz w:val="22"/>
        </w:rPr>
        <w:t> </w:t>
      </w:r>
      <w:r>
        <w:rPr>
          <w:rFonts w:ascii="Times New Roman" w:hAnsi="Times New Roman"/>
          <w:b w:val="false"/>
          <w:i w:val="false"/>
          <w:color w:val="000000"/>
          <w:sz w:val="22"/>
        </w:rPr>
        <w:t>To become certified as a lead professional, an applicant must meet the education and experience requirements for the appropriate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Lead inspector/risk assessors and elevated blood lead (EBL) inspector/risk assessors must meet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Bachelor’s degree and one year of related experience (e.g., lead, environmental health, public health, housing inspection, building trades).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Associate’s degree and two years of related experience (e.g., lead, environmental health, public health, housing inspection, building trades).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High school diploma and three years of related experience (e.g., lead, environmental health, public health, housing inspection, building trades).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Certification as an industrial hygienist, professional engineer, registered architect, registered sanitarian, registered environmental health specialist, or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Lead abatement contractors must meet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year of experience as a certified lead abatement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years of related experience or education (e.g., lead, housing inspection, building trades, property management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additional education or experience is mandated for lead abatement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Sampling technicians must meet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Associate’s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High school diploma and one year of related experience (e.g., lead, environmental health, public health, housing inspection, building trades).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Certification as an industrial hygienist, professional engineer, registered architect, registered sanitarian, registered environmental health specialist, or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Project designers must meet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Bachelor’s degree in engineering, architecture, or a related profession, and one year of experience in building construction and design or a related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Four years of experience in building construction and design or a related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 additional education or experience is mandated for lead-safe renovators.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470.5(3)</w:t>
      </w:r>
      <w:r>
        <w:rPr>
          <w:rFonts w:ascii="Times New Roman" w:hAnsi="Times New Roman"/>
          <w:b w:val="false"/>
          <w:i w:val="false"/>
          <w:color w:val="000000"/>
          <w:sz w:val="22"/>
        </w:rPr>
        <w:t> </w:t>
      </w:r>
      <w:r>
        <w:rPr>
          <w:rFonts w:ascii="Times New Roman" w:hAnsi="Times New Roman"/>
          <w:b w:val="false"/>
          <w:i w:val="false"/>
          <w:color w:val="000000"/>
          <w:sz w:val="22"/>
        </w:rPr>
        <w:t>Review of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an applicant for licensure petitions the department for an eligibility determination pursuant to paragraph </w:t>
      </w:r>
      <w:hyperlink r:id="rId8">
        <w:r>
          <w:rPr>
            <w:rStyle w:val="Hyperlink"/>
            <w:rFonts w:ascii="Times New Roman" w:hAnsi="Times New Roman"/>
            <w:b w:val="false"/>
            <w:i w:val="false"/>
            <w:color w:val="000000"/>
            <w:sz w:val="22"/>
          </w:rPr>
          <w:t>470.5(3)</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applicant’s convictions will be reviewed when the department receives a completed certification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must disclose all convictions on a certification application. Failure to disclose all convictions is grounds for certification denial or disciplinary action following certification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applicant with one or more convictions shall submit the complete criminal record for each conviction and a personal statement regarding whether each conviction directly relates to the practice of the profession in order for the certification application to be considered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applicant should submit any evidence of rehabilitation that the applicant wishes to be considered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a certification if the applicant has a disqualifying offense unless the applicant demonstrates by clear and convincing evidence that the applicant is rehabilitated pursuant to Iowa Code section </w:t>
      </w:r>
      <w:hyperlink r:id="rId9">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applicant with disqualifying offenses who has been found rehabilitated must still satisfy all other requirements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Application fees paid will not be refunded if the certification is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who has not yet submitted a completed certification application may petition the department for a determination of whether one or more of the individual’s convictions are disqualifying offenses that would render the individual ineligible for certification. To do so, a petitioner shall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petition for eligibility determination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complete criminal record for each of the petitioner’s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personal statement regarding whether each conviction directly relates to the duties and responsibilities of the profession and why the department should find the petitioner rehabilitated;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evidence of rehabilitation that the petitioner wishes to be considered by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of a nonrefundable fee of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petitioner deemed ineligible or an applicant denied a certification because of a disqualifying offense may appeal the decision, in writing, within 20 days of the date of the department’s written decision or in another manner and timeframe set forth in the department’s written decision. A timely appeal will initiate a nondisciplinary contested case proceeding. The department’s rules governing contested case proceedings at </w:t>
      </w:r>
      <w:hyperlink r:id="rId10">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apply unless otherwise specified in this rule. If the petitioner or applicant fails to timely appeal, the department’s written decision becomes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final order determines a petitioner is ineligible, the petitioner may not submit a subsequent petition for eligibility determination or a certification application prior to the date specified in the final order. If a final order denies a certification application, the applicant may not submit a subsequent certification application or a petition for eligibility determination prior to the date specified in the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470.5(4)</w:t>
      </w:r>
      <w:r>
        <w:rPr>
          <w:rFonts w:ascii="Times New Roman" w:hAnsi="Times New Roman"/>
          <w:b w:val="false"/>
          <w:i w:val="false"/>
          <w:color w:val="000000"/>
          <w:sz w:val="22"/>
        </w:rPr>
        <w:t> </w:t>
      </w:r>
      <w:r>
        <w:rPr>
          <w:rFonts w:ascii="Times New Roman" w:hAnsi="Times New Roman"/>
          <w:b w:val="false"/>
          <w:i w:val="false"/>
          <w:color w:val="000000"/>
          <w:sz w:val="22"/>
        </w:rPr>
        <w:t>Individuals applying for renewal as lead professionals must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$180 nonrefundable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certificate showing that the applicant has successfully completed an approved refresher training course for the appropriate discipline. The refresher training course has to be completed no more than three years prior to the date of the application for recertification.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470.5(5)</w:t>
      </w:r>
      <w:r>
        <w:rPr>
          <w:rFonts w:ascii="Times New Roman" w:hAnsi="Times New Roman"/>
          <w:b w:val="false"/>
          <w:i w:val="false"/>
          <w:color w:val="000000"/>
          <w:sz w:val="22"/>
        </w:rPr>
        <w:t> </w:t>
      </w:r>
      <w:r>
        <w:rPr>
          <w:rFonts w:ascii="Times New Roman" w:hAnsi="Times New Roman"/>
          <w:b w:val="false"/>
          <w:i w:val="false"/>
          <w:color w:val="000000"/>
          <w:sz w:val="22"/>
        </w:rPr>
        <w:t>The department will approve the state certification examinations for the disciplines of lead inspector/risk assessor, elevated blood lead (EBL) inspector/risk assessor, lead abatement contractor, and project designer. The state certification examination shall be administered by selected community college testing centers in Iowa. A community college testing center will set the fee for administering the state certification examination to each applicant and collect the fee from each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must achieve a score of at least 80 percent on the examination. An individual may take the state certification examination no more than three times within six months of receiving a certificate of completion from an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individual does not pass the state certification examination within six months of receiving a certificate of completion from an approved course, the individual must retake the appropriate approved course before reapplying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470.5(6)</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applicant for certification who is certified in any of the disciplines specified in this rule in another state may request reciprocal certification. The department will evaluate the requirements for certification to determine that the requirements for certification in such other state are as protective of health and the environment as the requirements for certification in Iowa. For all disciplines except lead-safe renovator and lead abatement worker, if the department determines that the requirements for certification in such other state are as protective of health and the environment as the requirements for certification in Iowa, the applicant may be certified after passing a proctored test covering Iowa-specific lead information with a score of at least 80 percent. For a lead-safe renovator and lead abatement worker, if the department determines that the requirements for certification in such other state are as protective of health and the environment as the requirements for certification in Iowa, the applicant may be certified after signing a statement indicating that the applicant has read and understands Iowa-specific lead information provided by the department. Each applicant for certification pursuant to this subrule will submit the appropriate application accompanied by the fee for each discipline as specified in rule </w:t>
      </w:r>
      <w:hyperlink r:id="rId12">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470.5.pdf" Type="http://schemas.openxmlformats.org/officeDocument/2006/relationships/hyperlink" Id="rId4"/>
    <Relationship TargetMode="External" Target="https://www.legis.iowa.gov/docs/iac/rule/481.470.5.pdf" Type="http://schemas.openxmlformats.org/officeDocument/2006/relationships/hyperlink" Id="rId5"/>
    <Relationship TargetMode="External" Target="https://www.legis.iowa.gov/docs/iac/rule/481.470.5.pdf" Type="http://schemas.openxmlformats.org/officeDocument/2006/relationships/hyperlink" Id="rId6"/>
    <Relationship TargetMode="External" Target="https://www.legis.iowa.gov/docs/iac/rule/481.470.5.pdf" Type="http://schemas.openxmlformats.org/officeDocument/2006/relationships/hyperlink" Id="rId7"/>
    <Relationship TargetMode="External" Target="https://www.legis.iowa.gov/docs/iac/rule/481.470.5.pdf" Type="http://schemas.openxmlformats.org/officeDocument/2006/relationships/hyperlink" Id="rId8"/>
    <Relationship TargetMode="External" Target="https://www.legis.iowa.gov/docs/ico/chapter/272C.15.pdf" Type="http://schemas.openxmlformats.org/officeDocument/2006/relationships/hyperlink" Id="rId9"/>
    <Relationship TargetMode="External" Target="https://www.legis.iowa.gov/docs/iac/chapter/7.2506.pdf" Type="http://schemas.openxmlformats.org/officeDocument/2006/relationships/hyperlink" Id="rId10"/>
    <Relationship TargetMode="External" Target="https://www.legis.iowa.gov/docs/iac/chapter/481.10.pdf" Type="http://schemas.openxmlformats.org/officeDocument/2006/relationships/hyperlink" Id="rId11"/>
    <Relationship TargetMode="External" Target="https://www.legis.iowa.gov/docs/iac/rule/481.470.5.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