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481—426.5</w:t>
      </w:r>
      <w:r>
        <w:rPr>
          <w:rFonts w:ascii="Times New Roman" w:hAnsi="Times New Roman"/>
          <w:b/>
          <w:i w:val="false"/>
          <w:color w:val="000000"/>
          <w:sz w:val="22"/>
        </w:rPr>
        <w:t xml:space="preserve">(105) </w:t>
      </w:r>
      <w:r>
        <w:rPr>
          <w:rFonts w:ascii="Times New Roman" w:hAnsi="Times New Roman"/>
          <w:b/>
          <w:i w:val="false"/>
          <w:color w:val="000000"/>
          <w:sz w:val="22"/>
        </w:rPr>
        <w:t xml:space="preserve">Enforcement. </w:t>
      </w:r>
      <w:r>
        <w:rPr>
          <w:rFonts w:ascii="Times New Roman" w:hAnsi="Times New Roman"/>
          <w:b w:val="false"/>
          <w:i w:val="false"/>
          <w:color w:val="000000"/>
          <w:sz w:val="22"/>
        </w:rPr>
        <w:t xml:space="preserve">Any state or local jurisdiction retaining authority to perform inspections of mechanical installations in the state of Iowa will retain initial interpretive authority over the state mechanical code and may implement an appeals process with respect to such interpretation. Ultimate appeal of any initial interpretation may be made to the plumbing and mechanical systems board by the filing of a petition for declaratory order pursuant to Iowa Code chapter </w:t>
      </w:r>
      <w:hyperlink r:id="rId4">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w:t>
      </w:r>
      <w:hyperlink r:id="rId5">
        <w:r>
          <w:rPr>
            <w:rStyle w:val="Hyperlink"/>
            <w:rFonts w:ascii="Times New Roman" w:hAnsi="Times New Roman"/>
            <w:b w:val="false"/>
            <w:i w:val="false"/>
            <w:color w:val="000000"/>
            <w:sz w:val="22"/>
          </w:rPr>
          <w:t>7—Chapter 2503</w:t>
        </w:r>
      </w:hyperlink>
      <w:r>
        <w:rPr>
          <w:rFonts w:ascii="Times New Roman" w:hAnsi="Times New Roman"/>
          <w:b w:val="false"/>
          <w:i w:val="false"/>
          <w:color w:val="000000"/>
          <w:sz w:val="22"/>
        </w:rPr>
        <w:t xml:space="preserve"> or the filing of a petition for waiver pursuant to Iowa Code chapter </w:t>
      </w:r>
      <w:hyperlink r:id="rId6">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7—Chapter 2504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8914C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8/5/26</w:t>
      </w:r>
      <w:r>
        <w:rPr>
          <w:rFonts w:ascii="Times New Roman" w:hAnsi="Times New Roman"/>
          <w:b w:val="false"/>
          <w:i w:val="false"/>
          <w:color w:val="000000"/>
          <w:sz w:val="16"/>
        </w:rPr>
        <w:t>]</w:t>
      </w:r>
    </w:p>
    <w:sectPr>
      <w:footerReference r:id="rId8"/>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pdf" Type="http://schemas.openxmlformats.org/officeDocument/2006/relationships/hyperlink" Id="rId4"/>
    <Relationship TargetMode="External" Target="https://www.legis.iowa.gov/docs/iac/chapter/7.2503.pdf" Type="http://schemas.openxmlformats.org/officeDocument/2006/relationships/hyperlink" Id="rId5"/>
    <Relationship TargetMode="External" Target="https://www.legis.iowa.gov/docs/ico/chapter/17A.pdf" Type="http://schemas.openxmlformats.org/officeDocument/2006/relationships/hyperlink" Id="rId6"/>
    <Relationship TargetMode="External" Target="https://www.legis.iowa.gov/docs/iac/chapter/7.2504.pdf" Type="http://schemas.openxmlformats.org/officeDocument/2006/relationships/hyperlink" Id="rId7"/>
    <Relationship Target="footer.xml" Type="http://schemas.openxmlformats.org/officeDocument/2006/relationships/footer"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