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481—34.14</w:t>
      </w:r>
      <w:r>
        <w:rPr>
          <w:rFonts w:ascii="Times New Roman" w:hAnsi="Times New Roman"/>
          <w:b/>
          <w:i w:val="false"/>
          <w:color w:val="000000"/>
          <w:sz w:val="22"/>
        </w:rPr>
        <w:t xml:space="preserve">(137D)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establishment may contest adverse action taken pursuant to this chapter by submitting a request for hearing to the department within 30 days of the mailing or service of the department’s action. Appeals and hearings are governed by </w:t>
      </w:r>
      <w:hyperlink r:id="rId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For contractors, license holders shall have the opportunity for a hearing before the local board of health. If the hearing is conducted before the local board of health, the license holder may appeal to the department and shall follow the process for review in rule </w:t>
      </w:r>
      <w:hyperlink r:id="rId5">
        <w:r>
          <w:rPr>
            <w:rStyle w:val="Hyperlink"/>
            <w:rFonts w:ascii="Times New Roman" w:hAnsi="Times New Roman"/>
            <w:b w:val="false"/>
            <w:i w:val="false"/>
            <w:color w:val="000000"/>
            <w:sz w:val="22"/>
          </w:rPr>
          <w:t>7—2506.27(17A)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6.pdf" Type="http://schemas.openxmlformats.org/officeDocument/2006/relationships/hyperlink" Id="rId4"/>
    <Relationship TargetMode="External" Target="https://www.legis.iowa.gov/docs/iac/rule/7.2506.2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