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481—325.9</w:t>
      </w:r>
      <w:r>
        <w:rPr>
          <w:rFonts w:ascii="Times New Roman" w:hAnsi="Times New Roman"/>
          <w:b/>
          <w:i w:val="false"/>
          <w:color w:val="000000"/>
          <w:sz w:val="22"/>
        </w:rPr>
        <w:t xml:space="preserve">(103A)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possible suspension or revocation of a certification, a person who violates the rules governing manufactured housing installation may be subject to civil penalties. Civil penalties may be assessed by the building code commissioner based on recommendation from staff of the building code bureau. Assessments of civil penalties may be appealed subject to the provisions of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for contested case proceedings. An appeal may be filed as a request for contested case proceeding as provided in rule </w:t>
      </w:r>
      <w:hyperlink r:id="rId5">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An appeal must be filed within 30 days of the date of the assessment of the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rule/7.2506.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