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481—325.6</w:t>
      </w:r>
      <w:r>
        <w:rPr>
          <w:rFonts w:ascii="Times New Roman" w:hAnsi="Times New Roman"/>
          <w:b/>
          <w:i w:val="false"/>
          <w:color w:val="000000"/>
          <w:sz w:val="22"/>
        </w:rPr>
        <w:t xml:space="preserve">(103A) </w:t>
      </w:r>
      <w:r>
        <w:rPr>
          <w:rFonts w:ascii="Times New Roman" w:hAnsi="Times New Roman"/>
          <w:b/>
          <w:i w:val="false"/>
          <w:color w:val="000000"/>
          <w:sz w:val="22"/>
        </w:rPr>
        <w:t xml:space="preserve">Review of application for certification. </w:t>
      </w:r>
      <w:r>
        <w:rPr>
          <w:rFonts w:ascii="Times New Roman" w:hAnsi="Times New Roman"/>
          <w:b w:val="false"/>
          <w:i w:val="false"/>
          <w:color w:val="000000"/>
          <w:sz w:val="22"/>
        </w:rPr>
        <w:t xml:space="preserve">Upon receipt of an application for certification or recertification, staff of the building code bureau shall review the application and recommend approval or denial to the building code commissioner. If an application is approved, the certificate shall be issued to the applicant. If an application is denied, the applicant shall be notified and given an explanation of the reason or reasons for denial. Denials of applications by the building code commissioner may be appealed according to the contested case provisions of </w:t>
      </w:r>
      <w:hyperlink r:id="rId4">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 appeal may be filed as a request for contested case proceeding as provided in rule </w:t>
      </w:r>
      <w:hyperlink r:id="rId5">
        <w:r>
          <w:rPr>
            <w:rStyle w:val="Hyperlink"/>
            <w:rFonts w:ascii="Times New Roman" w:hAnsi="Times New Roman"/>
            <w:b w:val="false"/>
            <w:i w:val="false"/>
            <w:color w:val="000000"/>
            <w:sz w:val="22"/>
          </w:rPr>
          <w:t>7—2506.4(17A)</w:t>
        </w:r>
      </w:hyperlink>
      <w:r>
        <w:rPr>
          <w:rFonts w:ascii="Times New Roman" w:hAnsi="Times New Roman"/>
          <w:b w:val="false"/>
          <w:i w:val="false"/>
          <w:color w:val="000000"/>
          <w:sz w:val="22"/>
        </w:rPr>
        <w:t>. An appeal must be filed within 30 days of the date of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7.2506.pdf" Type="http://schemas.openxmlformats.org/officeDocument/2006/relationships/hyperlink" Id="rId4"/>
    <Relationship TargetMode="External" Target="https://www.legis.iowa.gov/docs/iac/rule/7.2506.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