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481—324.5</w:t>
      </w:r>
      <w:r>
        <w:rPr>
          <w:rFonts w:ascii="Times New Roman" w:hAnsi="Times New Roman"/>
          <w:b/>
          <w:i w:val="false"/>
          <w:color w:val="000000"/>
          <w:sz w:val="22"/>
        </w:rPr>
        <w:t xml:space="preserve">(103A) </w:t>
      </w:r>
      <w:r>
        <w:rPr>
          <w:rFonts w:ascii="Times New Roman" w:hAnsi="Times New Roman"/>
          <w:b/>
          <w:i w:val="false"/>
          <w:color w:val="000000"/>
          <w:sz w:val="22"/>
        </w:rPr>
        <w:t xml:space="preserve">Denial, suspension, or revocation—civil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324.5(1)</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the issuance or renewal of a license if the applicant has committed any violation of any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324.5(2)</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or revoke a license for any violation of this chapter or of any other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a civil penalty for any violation of this chapter or of Iowa Code chapter </w:t>
      </w:r>
      <w:hyperlink r:id="rId4">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relating to the manufacture of a manufactured or mobile home. A civil penalty may be imposed in addition to a denial of the issuance or renewal of a license, a suspension of a license, or a revocation of a license. A civil penalty shall not be imposed in lieu of a denial of the issuance or renewal of a license or of a revocation of a license. A civil penalty shall not exceed $1,000 for each offense. Each violation involving a separate manufactured or mobile home, or a separate failure or refusal to allow an act to be performed or to perform an act as required by this chapter or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constitutes a separate offense. However, the maximum amount of civil penalties which may be assessed for any series of violations occurring within one year from the date of the first violation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324.5(4)</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for nonpayment of child support. The following procedures shall apply to actions taken by the building code commissioner on a certificate of noncompliance received from the Iowa department of human services pursuant to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certification of a licensee, as specified in 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building code commissioner informed of all court actions and all child support recovery unit actions taken under or in connection with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building code commissioner with copies, within 7 days of filing or issuance, of all applications filed with the district court pursuant to Iowa Code section </w:t>
      </w:r>
      <w:hyperlink r:id="rId1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fees for an application or reinstatement must be paid by the licensee before a license will be issued, renewed, or reinstated after the building code commissioner has denied the issuance or renewal of a license or has suspended or revoked a license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notice pursuant to Iowa Code sections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building code commissioner shall continue with the intended action described in the notice upon the receipt of a court order lifting the stay, dismissing the action, or otherwise directing the department to proceed. For the purpose of determining the effective date of revocation or suspension of the certification, the building code commissioner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Suspensions or revocations imposed pursuant to this subrule may not be appealed administratively within the department of public safety.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procedures established in subrule </w:t>
      </w:r>
      <w:hyperlink r:id="rId14">
        <w:r>
          <w:rPr>
            <w:rStyle w:val="Hyperlink"/>
            <w:rFonts w:ascii="Times New Roman" w:hAnsi="Times New Roman"/>
            <w:b w:val="false"/>
            <w:i w:val="false"/>
            <w:color w:val="000000"/>
            <w:sz w:val="22"/>
          </w:rPr>
          <w:t>324.5(4)</w:t>
        </w:r>
      </w:hyperlink>
      <w:r>
        <w:rPr>
          <w:rFonts w:ascii="Times New Roman" w:hAnsi="Times New Roman"/>
          <w:b w:val="false"/>
          <w:i w:val="false"/>
          <w:color w:val="000000"/>
          <w:sz w:val="22"/>
        </w:rPr>
        <w:t xml:space="preserve"> implement the requirements of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provisions of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establish mandatory requirements for an agency which administers a licensure program, such as the one established in this chapter, and provide that actions brought under these provisions are not subject to contested case procedures established in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but must be appealed directly to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denial, suspension, or revocation of a certification, or any civil penalty imposed upon a licensee under this rule, other than one imposed pursuant to </w:t>
      </w:r>
      <w:hyperlink r:id="rId18">
        <w:r>
          <w:rPr>
            <w:rStyle w:val="Hyperlink"/>
            <w:rFonts w:ascii="Times New Roman" w:hAnsi="Times New Roman"/>
            <w:b w:val="false"/>
            <w:i w:val="false"/>
            <w:color w:val="000000"/>
            <w:sz w:val="22"/>
          </w:rPr>
          <w:t>subrule 372.5(4)</w:t>
        </w:r>
      </w:hyperlink>
      <w:r>
        <w:rPr>
          <w:rFonts w:ascii="Times New Roman" w:hAnsi="Times New Roman"/>
          <w:b w:val="false"/>
          <w:i w:val="false"/>
          <w:color w:val="000000"/>
          <w:sz w:val="22"/>
        </w:rPr>
        <w:t xml:space="preserve">, may be appealed by the licensee within 14 days of receipt of the notice. Appeals of actions taken by the building code commissioner under this rule shall be to the commissioner of public safety and shall be treated as contested cases, following the procedures established in </w:t>
      </w:r>
      <w:hyperlink r:id="rId1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3A.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52J.9.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9.pdf" Type="http://schemas.openxmlformats.org/officeDocument/2006/relationships/hyperlink" Id="rId13"/>
    <Relationship TargetMode="External" Target="https://www.legis.iowa.gov/docs/iac/rule/481.324.5.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ac/rule/661.372.5.pdf" Type="http://schemas.openxmlformats.org/officeDocument/2006/relationships/hyperlink" Id="rId18"/>
    <Relationship TargetMode="External" Target="https://www.legis.iowa.gov/docs/iac/chapter/7.2506.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