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481—30.11</w:t>
      </w:r>
      <w:r>
        <w:rPr>
          <w:rFonts w:ascii="Times New Roman" w:hAnsi="Times New Roman"/>
          <w:b/>
          <w:i w:val="false"/>
          <w:color w:val="000000"/>
          <w:sz w:val="22"/>
        </w:rPr>
        <w:t xml:space="preserve">(10A,137C,137F) </w:t>
      </w:r>
      <w:r>
        <w:rPr>
          <w:rFonts w:ascii="Times New Roman" w:hAnsi="Times New Roman"/>
          <w:b/>
          <w:i w:val="false"/>
          <w:color w:val="000000"/>
          <w:sz w:val="22"/>
        </w:rPr>
        <w:t xml:space="preserve">Formal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30.11(1)</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may contest adverse action taken pursuant to this chapter by submitting a request for hearing to the department within 30 days of the mailing or service of the department’s action. Appeals and hearings are governed by </w:t>
      </w:r>
      <w:hyperlink r:id="rId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30.11(2)</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contractors, license holders shall have the opportunity for a hearing before the local board of health. If the hearing is conducted before the local board of health, the license holder may appeal to the department and shall follow the process for review in rule </w:t>
      </w:r>
      <w:hyperlink r:id="rId5">
        <w:r>
          <w:rPr>
            <w:rStyle w:val="Hyperlink"/>
            <w:rFonts w:ascii="Times New Roman" w:hAnsi="Times New Roman"/>
            <w:b w:val="false"/>
            <w:i w:val="false"/>
            <w:color w:val="000000"/>
            <w:sz w:val="22"/>
          </w:rPr>
          <w:t>481—9.3</w:t>
        </w:r>
      </w:hyperlink>
      <w:r>
        <w:rPr>
          <w:rFonts w:ascii="Times New Roman" w:hAnsi="Times New Roman"/>
          <w:b w:val="false"/>
          <w:i w:val="false"/>
          <w:color w:val="000000"/>
          <w:sz w:val="22"/>
        </w:rPr>
        <w:t>(10A,17A).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6.pdf" Type="http://schemas.openxmlformats.org/officeDocument/2006/relationships/hyperlink" Id="rId4"/>
    <Relationship TargetMode="External" Target="https://www.legis.iowa.gov/docs/iac/rule/481.9.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