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481—268.10</w:t>
      </w:r>
      <w:r>
        <w:rPr>
          <w:rFonts w:ascii="Times New Roman" w:hAnsi="Times New Roman"/>
          <w:b/>
          <w:i w:val="false"/>
          <w:color w:val="000000"/>
          <w:sz w:val="22"/>
        </w:rPr>
        <w:t xml:space="preserve">(101A,252J) </w:t>
      </w:r>
      <w:r>
        <w:rPr>
          <w:rFonts w:ascii="Times New Roman" w:hAnsi="Times New Roman"/>
          <w:b/>
          <w:i w:val="false"/>
          <w:color w:val="000000"/>
          <w:sz w:val="22"/>
        </w:rPr>
        <w:t xml:space="preserve">Grounds for suspension, revocation, or denial of commercial explosive licenses;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refuse to issue a contractor or blaster license sought pursuant to Iowa Code section </w:t>
      </w:r>
      <w:hyperlink r:id="rId4">
        <w:r>
          <w:rPr>
            <w:rStyle w:val="Hyperlink"/>
            <w:rFonts w:ascii="Times New Roman" w:hAnsi="Times New Roman"/>
            <w:b w:val="false"/>
            <w:i w:val="false"/>
            <w:color w:val="000000"/>
            <w:sz w:val="22"/>
          </w:rPr>
          <w:t>101A.2</w:t>
        </w:r>
      </w:hyperlink>
      <w:r>
        <w:rPr>
          <w:rFonts w:ascii="Times New Roman" w:hAnsi="Times New Roman"/>
          <w:b w:val="false"/>
          <w:i w:val="false"/>
          <w:color w:val="000000"/>
          <w:sz w:val="22"/>
        </w:rPr>
        <w:t xml:space="preserve"> or may suspend or revoke such a license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Finding that the applicant or licensee is disqualified by any provision of federal or Iowa law from possessing explosives, firearms, or offensive weapons.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Finding that the applicant or licensee lacks sufficient knowledge of the use, handling, and storage of explosive materials to protect the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Finding that the applicant or licensee falsified information in the current or any previous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Finding that the applicant or licensee has been adjudged mentally incompetent at any time by any court, been committed by any court to any mental institution, received inpatient treatment for any mental illness in the past three years, or received treatment by a health care professional for a serious mental illness or disorder that impairs a person’s capacity to function normally and safely, both toward themselves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that the licensee or applicant has violated any provision of Iowa Code chapter </w:t>
      </w:r>
      <w:hyperlink r:id="rId5">
        <w:r>
          <w:rPr>
            <w:rStyle w:val="Hyperlink"/>
            <w:rFonts w:ascii="Times New Roman" w:hAnsi="Times New Roman"/>
            <w:b w:val="false"/>
            <w:i w:val="false"/>
            <w:color w:val="000000"/>
            <w:sz w:val="22"/>
          </w:rPr>
          <w:t>101A</w:t>
        </w:r>
      </w:hyperlink>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Receipt of a certificate of noncompliance from the child support recovery unit of the Iowa department of health and human services pursuant to the procedures set forth in Iowa Code chapter </w:t>
      </w:r>
      <w:hyperlink r:id="rId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Receipt of a certificate of noncompliance from the centralized collection unit of the department of revenue pursuant to Iowa Code chapter </w:t>
      </w:r>
      <w:hyperlink r:id="rId7">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Conviction of a felony offense, if the offense directly relates to the profession or occupation of the applicant, in the courts of this state or another state, territory or country. Conviction as used in this subrule includes a conviction of an offense that if committed in this state would be a felony without regard to its designation elsewhere and includes a finding or verdict of guilt made or returned in a criminal proceeding even if the adjudication of guilt is withheld or not entered. A certified copy of the final order or judgment of conviction or plea of guilty in this state or in another state constitutes conclusive evidence of the conviction. If an applicant is denied under this provision, the applicant shall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applicant’s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Willful or repeated violations of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Disqualifications pursuant to Iowa Code section </w:t>
      </w:r>
      <w:hyperlink r:id="rId8">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268.10(2)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or licensee whose application is denied or a licensee whose license is suspended or revoked for a reason other than receipt of a certificate of noncompliance from the child support recovery unit or a certificate of noncompliance from the department of revenue may appeal that action by requesting a contested case hearing, in writing, within 20 days of the department’s determination. An appeal is subject to the provisions of </w:t>
      </w:r>
      <w:hyperlink r:id="rId9">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governing contested cases. Applicants or licensees whose licenses are denied, suspended, or revoked because of receipt by the department of a certificate of noncompliance issued by the child support recovery unit or the department of revenue are subject to the procedures set forth in </w:t>
      </w:r>
      <w:hyperlink r:id="rId11">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268.10(3)</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employing commercial explosive contractor licensee of the denial, suspension, or revocation of a commercial explosive blaster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1A.2.pdf" Type="http://schemas.openxmlformats.org/officeDocument/2006/relationships/hyperlink" Id="rId4"/>
    <Relationship TargetMode="External" Target="https://www.legis.iowa.gov/docs/ico/chapter/101A.pdf" Type="http://schemas.openxmlformats.org/officeDocument/2006/relationships/hyperlink" Id="rId5"/>
    <Relationship TargetMode="External" Target="https://www.legis.iowa.gov/docs/ico/chapter/252J.pdf" Type="http://schemas.openxmlformats.org/officeDocument/2006/relationships/hyperlink" Id="rId6"/>
    <Relationship TargetMode="External" Target="https://www.legis.iowa.gov/docs/ico/chapter/272D.pdf" Type="http://schemas.openxmlformats.org/officeDocument/2006/relationships/hyperlink" Id="rId7"/>
    <Relationship TargetMode="External" Target="https://www.legis.iowa.gov/docs/ico/chapter/272C.15.pdf" Type="http://schemas.openxmlformats.org/officeDocument/2006/relationships/hyperlink" Id="rId8"/>
    <Relationship TargetMode="External" Target="https://www.legis.iowa.gov/docs/iac/chapter/7.2506.pdf" Type="http://schemas.openxmlformats.org/officeDocument/2006/relationships/hyperlink" Id="rId9"/>
    <Relationship TargetMode="External" Target="https://www.legis.iowa.gov/docs/iac/chapter/481.10.pdf" Type="http://schemas.openxmlformats.org/officeDocument/2006/relationships/hyperlink" Id="rId10"/>
    <Relationship TargetMode="External" Target="https://www.legis.iowa.gov/docs/iac/chapter/481.8.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