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481—265.7</w:t>
      </w:r>
      <w:r>
        <w:rPr>
          <w:rFonts w:ascii="Times New Roman" w:hAnsi="Times New Roman"/>
          <w:b/>
          <w:i w:val="false"/>
          <w:color w:val="000000"/>
          <w:sz w:val="22"/>
        </w:rPr>
        <w:t xml:space="preserve">(100C) </w:t>
      </w:r>
      <w:r>
        <w:rPr>
          <w:rFonts w:ascii="Times New Roman" w:hAnsi="Times New Roman"/>
          <w:b/>
          <w:i w:val="false"/>
          <w:color w:val="000000"/>
          <w:sz w:val="22"/>
        </w:rPr>
        <w:t xml:space="preserve">Denial, suspension, or revocation of licensure; civil penalties; and appeals. </w:t>
      </w:r>
      <w:r>
        <w:rPr>
          <w:rFonts w:ascii="Times New Roman" w:hAnsi="Times New Roman"/>
          <w:b w:val="false"/>
          <w:i w:val="false"/>
          <w:color w:val="000000"/>
          <w:sz w:val="22"/>
        </w:rPr>
        <w:t>The department may deny, suspend, or revoke the license of a contractor, or assess a civil penalty to the contractor, if any provision of these rules or any other provision of law related to operation as a fire extinguishing system contractor is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 for reasons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acting as a fire extinguishing system contractor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 fire extinguishing system contractor and if the basis of that action reflects upon the integrity of the applicant in operating as a fire extinguishing system contractor. If an applicant is found to have been previously barred for cause from operating as a fire extinguishing system contractor in another jurisdiction and is no longer barred from doing so, the department will evaluate the record of that action with regard to the likelihood that the applicant would operate with integrity as a licensed contractor.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4">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for a failure to meet any legal requirement to operate as a fire extinguishing system contractor in this state. Failure to provide any notice to the department as provided in these rules will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revocation is a termination of a license. A license may be revoked by the department for repeated violations or for a violation that creates an imminent danger to the safety or health of individuals protected by a fire extinguishing system incorrectly installed by a licensed contractor or when information comes to the attention of the department which, if known to the department when the application was being considered, would have resulted in denial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for licensure from a contractor whose license had previously been revoked will not be considered for a period of one year after the effective date of the revocation and, in any event, until every condition that was a basis for the revocation has been corrected. The department may specify in the revocation order a longer period than one year before a new application for licensure may be considered. When a new application for licensure from a contractor whose license was previously revoked is being considered, the applicant may be denied licensure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denial, suspension, or revocation of a license, or any civil penalty imposed upon a licensed contractor under this rule may be appealed by the contractor within 14 days of receipt of the notice by submitting a written request for a contested case appeal to the department. An appeal is subject to the provisions of </w:t>
      </w:r>
      <w:hyperlink r:id="rId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0C.pdf" Type="http://schemas.openxmlformats.org/officeDocument/2006/relationships/hyperlink" Id="rId4"/>
    <Relationship TargetMode="External" Target="https://www.legis.iowa.gov/docs/ico/chapter/272C.15.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ac/chapter/481.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