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Electronic filing not mandatory.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Electronic filing not mandatory.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Registration and filing through AEDMS, although encouraged, is not mandatory, and the division will still accept the traditional filing of paper or other electronic documents as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481—paragraph 10.12(3)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What constitutes filing.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electronic transmission of a document to AEDMS consistent with the procedures specified in these rules, together with the production and transmission of a notice of electronic filing, constitutes filing of the document.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Electronic file stamp.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Documents filed through AEDMS are officially filed when affixed with an electronic file stamp. Filings so endorsed have the same force and effect as documents time-stamped in a nonelectronic manner.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10.1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