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481—16.10</w:t>
      </w:r>
      <w:r>
        <w:rPr>
          <w:rFonts w:ascii="Times New Roman" w:hAnsi="Times New Roman"/>
          <w:b/>
          <w:i w:val="false"/>
          <w:color w:val="000000"/>
          <w:sz w:val="22"/>
        </w:rPr>
        <w:t xml:space="preserve">(10A) </w:t>
      </w:r>
      <w:r>
        <w:rPr>
          <w:rFonts w:ascii="Times New Roman" w:hAnsi="Times New Roman"/>
          <w:b/>
          <w:i w:val="false"/>
          <w:color w:val="000000"/>
          <w:sz w:val="22"/>
        </w:rPr>
        <w:t xml:space="preserve">Case initiation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color w:val="000000"/>
          <w:sz w:val="22"/>
        </w:rPr>
        <w:t xml:space="preserve">Case initiation. </w:t>
      </w:r>
      <w:r>
        <w:rPr>
          <w:rFonts w:ascii="Times New Roman" w:hAnsi="Times New Roman"/>
          <w:b w:val="false"/>
          <w:i w:val="false"/>
          <w:color w:val="000000"/>
          <w:sz w:val="22"/>
        </w:rPr>
        <w:t xml:space="preserve">A case may be initiated by an agency or governmental entity via AEDMS by the electronic filing of a transmittal form pursuant to rule </w:t>
      </w:r>
      <w:hyperlink r:id="rId4">
        <w:r>
          <w:rPr>
            <w:rStyle w:val="Hyperlink"/>
            <w:rFonts w:ascii="Times New Roman" w:hAnsi="Times New Roman"/>
            <w:b w:val="false"/>
            <w:i w:val="false"/>
            <w:color w:val="000000"/>
            <w:sz w:val="22"/>
          </w:rPr>
          <w:t>481—10.5</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color w:val="000000"/>
          <w:sz w:val="22"/>
        </w:rPr>
        <w:t xml:space="preserve">Filings by registered user. </w:t>
      </w:r>
      <w:r>
        <w:rPr>
          <w:rFonts w:ascii="Times New Roman" w:hAnsi="Times New Roman"/>
          <w:b w:val="false"/>
          <w:i w:val="false"/>
          <w:color w:val="000000"/>
          <w:sz w:val="22"/>
        </w:rPr>
        <w:t>To the extent another party to the case is not a registered user, the registered user shall serve those filings upon the nonregistered user pursuant to the applicable rules of contested case procedure and any other controlling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and distribution of 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document is electronically filed, that document will be served automatically through AEDMS to all parties to the proceeding who are registered users. No other service to those registered users is required unless ordered by the division or unless the registered user has filed a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Notices of electronic filing will continue to be sent to registered users appearing or intervening in a proceeding until the registered users have filed a withdrawal of appearance or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color w:val="000000"/>
          <w:sz w:val="22"/>
        </w:rPr>
        <w:t xml:space="preserve">Division-generated documents. </w:t>
      </w:r>
      <w:r>
        <w:rPr>
          <w:rFonts w:ascii="Times New Roman" w:hAnsi="Times New Roman"/>
          <w:b w:val="false"/>
          <w:i w:val="false"/>
          <w:color w:val="000000"/>
          <w:sz w:val="22"/>
        </w:rPr>
        <w:t>All documents issued by the division will be electronically filed and served upon registered users. Division-generated documents will be served upon nonregistered users pursuant to the applicable rules of contested case procedure and any other controlling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