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481—16.1</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governs the filing of documents through the division’s AEDMS. To the extent the rules in this chapter are inconsistent with any other administrative rule of the division, the rules in this chapter will govern. Pursuant to Iowa Code section </w:t>
      </w:r>
      <w:hyperlink r:id="rId4">
        <w:r>
          <w:rPr>
            <w:rStyle w:val="Hyperlink"/>
            <w:rFonts w:ascii="Times New Roman" w:hAnsi="Times New Roman"/>
            <w:b w:val="false"/>
            <w:i w:val="false"/>
            <w:color w:val="000000"/>
            <w:sz w:val="22"/>
          </w:rPr>
          <w:t>10A.802</w:t>
        </w:r>
      </w:hyperlink>
      <w:r>
        <w:rPr>
          <w:rFonts w:ascii="Times New Roman" w:hAnsi="Times New Roman"/>
          <w:b w:val="false"/>
          <w:i w:val="false"/>
          <w:color w:val="000000"/>
          <w:sz w:val="22"/>
        </w:rPr>
        <w:t xml:space="preserve">, these rules prevail over any other law, including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or agency rule that specifies the method, manner, or format for sending, receiving, serving, retaining, or creating paper records or other documents related to a contested case proceeding, including but not limited to a request or demand for a contested case proceeding, a notice of hearing, and a proposed or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802.pdf" Type="http://schemas.openxmlformats.org/officeDocument/2006/relationships/hyperlink" Id="rId4"/>
    <Relationship TargetMode="External" Target="https://www.legis.iowa.gov/docs/ico/chapter/17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