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481—15.3</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3. </w:t>
      </w:r>
      <w:r>
        <w:rPr>
          <w:rFonts w:ascii="Times New Roman" w:hAnsi="Times New Roman"/>
          <w:b w:val="false"/>
          <w:i w:val="false"/>
          <w:color w:val="000000"/>
          <w:sz w:val="22"/>
        </w:rPr>
        <w:t>An administrative law judge shall conduct the administrative law judge’s personal and extrajudicial activities to minimize the risk of conflict with administrative judicial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Extrajudicial activities in general. </w:t>
      </w:r>
      <w:r>
        <w:rPr>
          <w:rFonts w:ascii="Times New Roman" w:hAnsi="Times New Roman"/>
          <w:b w:val="false"/>
          <w:i w:val="false"/>
          <w:color w:val="000000"/>
          <w:sz w:val="22"/>
        </w:rPr>
        <w:t>An administrative law judge may engage in extrajudicial activities, except as prohibited by law or this Code. However, when engaging in extrajudicial activities, an administrative law judge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will interfere with the proper performance of the administrative law judge’s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will 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Engage in conduct that would appear to a reasonable person to be coercive;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use of agency premises, staff, stationery, equipment, or other resources, except for incidental use for activities that concern the law, the legal system, the provision of legal services, or the administration of justice, or unless such additional use is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Testifying as a character witness. </w:t>
      </w:r>
      <w:r>
        <w:rPr>
          <w:rFonts w:ascii="Times New Roman" w:hAnsi="Times New Roman"/>
          <w:b w:val="false"/>
          <w:i w:val="false"/>
          <w:color w:val="000000"/>
          <w:sz w:val="22"/>
        </w:rPr>
        <w:t>An administrative law judge shall not testify as a character witness in a judicial, administrative, or other adjudicatory proceeding or otherwise vouch for the character of a person in a legal proceeding, except when duly subpoenaed.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Appointments to governmental positions. </w:t>
      </w:r>
      <w:r>
        <w:rPr>
          <w:rFonts w:ascii="Times New Roman" w:hAnsi="Times New Roman"/>
          <w:b w:val="false"/>
          <w:i w:val="false"/>
          <w:color w:val="000000"/>
          <w:sz w:val="22"/>
        </w:rPr>
        <w:t>An administrative law judge shall not accept appointment to a governmental committee, board, commission, or other governmental position that would appear to a reasonable person to undermine the administrative law judge’s independence, integrity, or impartiality or would 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Use of nonpublic information. </w:t>
      </w:r>
      <w:r>
        <w:rPr>
          <w:rFonts w:ascii="Times New Roman" w:hAnsi="Times New Roman"/>
          <w:b w:val="false"/>
          <w:i w:val="false"/>
          <w:color w:val="000000"/>
          <w:sz w:val="22"/>
        </w:rPr>
        <w:t>An administrative law judge shall not intentionally disclose or use nonpublic information acquired in an administrative judicial capacity for any purpose unrelated to the administrative law judge’s administrative judicial or other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Affiliation with discriminatory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hold membership in any organization that practices invidious discrimination on the basis of race, sex, gender, religion, national origin, ethnicity, or sexual orientation. An administrative law judge’s membership in a religious organization as a lawful exercise of the freedom of religion is not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not use the benefits or facilities of an organization if the administrative law judge knows or should know that the organization practices invidious discrimination on one or more of the bases identified in paragraph </w:t>
      </w:r>
      <w:hyperlink r:id="rId4">
        <w:r>
          <w:rPr>
            <w:rStyle w:val="Hyperlink"/>
            <w:rFonts w:ascii="Times New Roman" w:hAnsi="Times New Roman"/>
            <w:b w:val="false"/>
            <w:i w:val="false"/>
            <w:color w:val="000000"/>
            <w:sz w:val="22"/>
          </w:rPr>
          <w:t>15.3(5)</w:t>
        </w:r>
      </w:hyperlink>
      <w:r>
        <w:rPr>
          <w:rFonts w:ascii="Times New Roman" w:hAnsi="Times New Roman"/>
          <w:b w:val="false"/>
          <w:i/>
          <w:color w:val="000000"/>
          <w:sz w:val="22"/>
        </w:rPr>
        <w:t>“a.”</w:t>
      </w:r>
      <w:r>
        <w:rPr>
          <w:rFonts w:ascii="Times New Roman" w:hAnsi="Times New Roman"/>
          <w:b w:val="false"/>
          <w:i w:val="false"/>
          <w:color w:val="000000"/>
          <w:sz w:val="22"/>
        </w:rPr>
        <w:t> An administrative law judge’s attendance at an event in a facility of an organization that the administrative law judge is not permitted to join is not a violation of this rule when the administrative law judge’s attendance is an isolated event that could not reasonably be perceived as an endorsement of the organization’s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educational, religious, charitable, fraternal, or civic organizations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subrule </w:t>
      </w:r>
      <w:hyperlink r:id="rId5">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an administrative law judge may participate in activities sponsored by organizations or governmental entities concerned with the law, the legal system, the provision of legal services, or the administration of justice, and those sponsored by or on behalf of educational, religious, charitable, fraternal, or civic organizations not conducted for profit, including but not limited to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such an organization or entity in planning related to fundraising, volunteering goods or services at fundraising events, and participating in the management and investment of the organization’s or entity’s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Soliciting contributions for such an organization or entity but only from members of the administrative law judge’s family or from other administrative law judges or coworkers in the administrative law judge’s immediate office over whom the administrative law judge does not exercise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or speaking at, receiving an award or other recognition at, being featured on the program of, and permitting an administrative law judge’s title to be used in connection with an event of such an organization or entity, but if the event serves a fundraising purpose, the administrative law judge may participate only if the event concerns the law, the legal system, the provision of legal services, or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to such a public or private fund-granting organization or entity in connection with its programs and activities but only if the organization or entity is concerned with the law, the legal system, the provision of legal services, or the administration of justice;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an officer, director, trustee, or nonlegal advisor of such an organization or entity unless it is likely that the organization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engaged in proceedings that would ordinarily come before the administrative law judge;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frequently be engaged in adversary proceedings before the agency in which the administrative law judge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may encourage lawyers to provide pro bono publico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subrule </w:t>
      </w:r>
      <w:hyperlink r:id="rId6">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an administrative law judge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leadership in identifying and addressing issues involving equal access to the justice system; developing public education programs; engaging in activities to promote the fair administration of justice and convening, participating or assisting in advisory committees and community collaborations devoted to the improvement of the law, the legal system, the provision of legal services, or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Endorse projects and programs directly related to the law, the legal system, the provision of legal services, and the administration of justice to those coming before the courts or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Participate in programs that concern the law or that promote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15.3(7)</w:t>
      </w:r>
      <w:r>
        <w:rPr>
          <w:rFonts w:ascii="Times New Roman" w:hAnsi="Times New Roman"/>
          <w:b w:val="false"/>
          <w:i w:val="false"/>
          <w:color w:val="000000"/>
          <w:sz w:val="22"/>
        </w:rPr>
        <w:t> </w:t>
      </w:r>
      <w:r>
        <w:rPr>
          <w:rFonts w:ascii="Times New Roman" w:hAnsi="Times New Roman"/>
          <w:b w:val="false"/>
          <w:i/>
          <w:color w:val="000000"/>
          <w:sz w:val="22"/>
        </w:rPr>
        <w:t xml:space="preserve">Appointments to fiduciary positions.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accept an appointment to serve in a fiduciary position, such as executor, administrator, trustee, guardian, attorney-in-fact, or other personal representative, except for the estate, trust, or person of a member of the administrative law judge’s family, and then only if such service will not interfere with the proper performance of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serve in a fiduciary position if the administrative law judge as fiduciary will likely be engaged in proceedings that would ordinarily come before the administrative law judge or if the estate, trust, or ward becomes involved in adversary proceedings before the agency in which the administrative law judge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acting in a fiduciary capacity shall be subject to the same restrictions on engaging in financial activities that apply to an administrative law judge personally.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person who is serving in a fiduciary position becomes an administrative law judge, the administrative law judge must comply with this subrule as soon as reasonably practicable but in no event later than six months after becoming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15.3(8)</w:t>
      </w:r>
      <w:r>
        <w:rPr>
          <w:rFonts w:ascii="Times New Roman" w:hAnsi="Times New Roman"/>
          <w:b w:val="false"/>
          <w:i w:val="false"/>
          <w:color w:val="000000"/>
          <w:sz w:val="22"/>
        </w:rPr>
        <w:t> </w:t>
      </w:r>
      <w:r>
        <w:rPr>
          <w:rFonts w:ascii="Times New Roman" w:hAnsi="Times New Roman"/>
          <w:b w:val="false"/>
          <w:i/>
          <w:color w:val="000000"/>
          <w:sz w:val="22"/>
        </w:rPr>
        <w:t xml:space="preserve">Services as arbitrator or mediator. </w:t>
      </w:r>
      <w:r>
        <w:rPr>
          <w:rFonts w:ascii="Times New Roman" w:hAnsi="Times New Roman"/>
          <w:b w:val="false"/>
          <w:i w:val="false"/>
          <w:color w:val="000000"/>
          <w:sz w:val="22"/>
        </w:rPr>
        <w:t>An administrative law judge shall not act as an arbitrator or a mediator or perform other judicial functions apart from the administrative law judge’s official duties unless expressly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15.3(9)</w:t>
      </w:r>
      <w:r>
        <w:rPr>
          <w:rFonts w:ascii="Times New Roman" w:hAnsi="Times New Roman"/>
          <w:b w:val="false"/>
          <w:i w:val="false"/>
          <w:color w:val="000000"/>
          <w:sz w:val="22"/>
        </w:rPr>
        <w:t> </w:t>
      </w:r>
      <w:r>
        <w:rPr>
          <w:rFonts w:ascii="Times New Roman" w:hAnsi="Times New Roman"/>
          <w:b w:val="false"/>
          <w:i/>
          <w:color w:val="000000"/>
          <w:sz w:val="22"/>
        </w:rPr>
        <w:t xml:space="preserve">Practice of law. </w:t>
      </w:r>
      <w:r>
        <w:rPr>
          <w:rFonts w:ascii="Times New Roman" w:hAnsi="Times New Roman"/>
          <w:b w:val="false"/>
          <w:i w:val="false"/>
          <w:color w:val="000000"/>
          <w:sz w:val="22"/>
        </w:rPr>
        <w:t>An administrative law judge shall not engage in the private practice of law. An administrative law judge may act pro se and may, without compensation, give legal advice to and draft or review documents for a member of the administrative law judge’s family but is prohibited from serving as the family member’s lawyer before the agency in which the administrative law judge serves. An administrative law judge serving in the administrative hearings division of the department is prohibited from serving as the family member’s lawyer in any proceeding in which another administrative law judge serving in the division is the presiding officer, regardless of whether the proceeding is being conducted on behalf of the department or another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15.3(10)</w:t>
      </w:r>
      <w:r>
        <w:rPr>
          <w:rFonts w:ascii="Times New Roman" w:hAnsi="Times New Roman"/>
          <w:b w:val="false"/>
          <w:i w:val="false"/>
          <w:color w:val="000000"/>
          <w:sz w:val="22"/>
        </w:rPr>
        <w:t> </w:t>
      </w:r>
      <w:r>
        <w:rPr>
          <w:rFonts w:ascii="Times New Roman" w:hAnsi="Times New Roman"/>
          <w:b w:val="false"/>
          <w:i/>
          <w:color w:val="000000"/>
          <w:sz w:val="22"/>
        </w:rPr>
        <w:t xml:space="preserve">Financial, business, or remunerative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may hold and manage investments of the administrative law judge and members of the administrative law judge’s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serve as an officer, director, manager, general partner, advisor, or employee of any business entity, except that an administrative law judge may manage or participate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business closely held by the administrative law judge or members of the administrative law judge’s family;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entity primarily engaged in investment of the financial resources of the administrative law judge or members of the administrative law judge’s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not engage in financial activities permitted under paragraphs </w:t>
      </w:r>
      <w:hyperlink r:id="rId7">
        <w:r>
          <w:rPr>
            <w:rStyle w:val="Hyperlink"/>
            <w:rFonts w:ascii="Times New Roman" w:hAnsi="Times New Roman"/>
            <w:b w:val="false"/>
            <w:i w:val="false"/>
            <w:color w:val="000000"/>
            <w:sz w:val="22"/>
          </w:rPr>
          <w:t>15.3(10)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if the financial activities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Interfere with the proper performance of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Involve the administrative law judge in frequent transactions or continuing business relationships with lawyers or other persons likely to come before the agency in which the administrative law judge serves;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 in violation of other provisions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15.3(11)</w:t>
      </w:r>
      <w:r>
        <w:rPr>
          <w:rFonts w:ascii="Times New Roman" w:hAnsi="Times New Roman"/>
          <w:b w:val="false"/>
          <w:i w:val="false"/>
          <w:color w:val="000000"/>
          <w:sz w:val="22"/>
        </w:rPr>
        <w:t> </w:t>
      </w:r>
      <w:r>
        <w:rPr>
          <w:rFonts w:ascii="Times New Roman" w:hAnsi="Times New Roman"/>
          <w:b w:val="false"/>
          <w:i/>
          <w:color w:val="000000"/>
          <w:sz w:val="22"/>
        </w:rPr>
        <w:t xml:space="preserve">Compensation for extrajudicial activities. </w:t>
      </w:r>
      <w:r>
        <w:rPr>
          <w:rFonts w:ascii="Times New Roman" w:hAnsi="Times New Roman"/>
          <w:b w:val="false"/>
          <w:i w:val="false"/>
          <w:color w:val="000000"/>
          <w:sz w:val="22"/>
        </w:rPr>
        <w:t>An administrative law judge may accept reasonable compensation for extrajudicial activities permitted by this Code and other law unless such acceptance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w:t>
      </w:r>
      <w:r>
        <w:rPr>
          <w:rFonts w:ascii="Times New Roman" w:hAnsi="Times New Roman"/>
          <w:b w:val="false"/>
          <w:i w:val="false"/>
          <w:color w:val="000000"/>
          <w:sz w:val="22"/>
        </w:rPr>
        <w:t> </w:t>
      </w:r>
      <w:r>
        <w:rPr>
          <w:rFonts w:ascii="Times New Roman" w:hAnsi="Times New Roman"/>
          <w:b w:val="false"/>
          <w:i/>
          <w:color w:val="000000"/>
          <w:sz w:val="22"/>
        </w:rPr>
        <w:t xml:space="preserve">Acceptance of gifts, loans, bequests, benefits, or other things of value. </w:t>
      </w:r>
      <w:r>
        <w:rPr>
          <w:rFonts w:ascii="Times New Roman" w:hAnsi="Times New Roman"/>
          <w:b w:val="false"/>
          <w:i w:val="false"/>
          <w:color w:val="000000"/>
          <w:sz w:val="22"/>
        </w:rPr>
        <w:t xml:space="preserve">An administrative law judge, an administrative law judge’s spouse, and an administrative law judge’s dependent child shall not accept or receive any gift, loan, bequest, benefit, or other thing of value if acceptance or receipt is prohibited by Iowa Code chapter </w:t>
      </w:r>
      <w:hyperlink r:id="rId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any other law or if acceptance or receipt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expenses and waivers of fees or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prohibited by subrules </w:t>
      </w:r>
      <w:hyperlink r:id="rId9">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15.3(12)</w:t>
        </w:r>
      </w:hyperlink>
      <w:r>
        <w:rPr>
          <w:rFonts w:ascii="Times New Roman" w:hAnsi="Times New Roman"/>
          <w:b w:val="false"/>
          <w:i w:val="false"/>
          <w:color w:val="000000"/>
          <w:sz w:val="22"/>
        </w:rPr>
        <w:t xml:space="preserve">, Iowa Code chapter </w:t>
      </w:r>
      <w:hyperlink r:id="rId1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or other law, an administrative law judge may accept reimbursement of necessary and reasonable expenses for travel, food, lodging, or other incidental expenses, or a waiver or partial waiver of fees or charges for registration, tuition, and similar items, from sources other than the administrative law judge’s employing entity, if the expenses or charges are associated with the administrative law judge’s participation in extrajudicial activities permitted by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of expenses for necessary travel, food, lodging, or other incidental expenses shall be limited to the actual costs reasonably incurred by the administrative law judge and, when appropriate to the occasion, by the administrative law judge’s spouse, domestic partner, or guest.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5.3.pdf" Type="http://schemas.openxmlformats.org/officeDocument/2006/relationships/hyperlink" Id="rId4"/>
    <Relationship TargetMode="External" Target="https://www.legis.iowa.gov/docs/iac/rule/481.15.3.pdf" Type="http://schemas.openxmlformats.org/officeDocument/2006/relationships/hyperlink" Id="rId5"/>
    <Relationship TargetMode="External" Target="https://www.legis.iowa.gov/docs/iac/rule/481.15.3.pdf" Type="http://schemas.openxmlformats.org/officeDocument/2006/relationships/hyperlink" Id="rId6"/>
    <Relationship TargetMode="External" Target="https://www.legis.iowa.gov/docs/iac/rule/481.15.3.pdf" Type="http://schemas.openxmlformats.org/officeDocument/2006/relationships/hyperlink" Id="rId7"/>
    <Relationship TargetMode="External" Target="https://www.legis.iowa.gov/docs/ico/chapter/68B.pdf" Type="http://schemas.openxmlformats.org/officeDocument/2006/relationships/hyperlink" Id="rId8"/>
    <Relationship TargetMode="External" Target="https://www.legis.iowa.gov/docs/iac/rule/481.15.3.pdf" Type="http://schemas.openxmlformats.org/officeDocument/2006/relationships/hyperlink" Id="rId9"/>
    <Relationship TargetMode="External" Target="https://www.legis.iowa.gov/docs/iac/rule/481.15.3.pdf" Type="http://schemas.openxmlformats.org/officeDocument/2006/relationships/hyperlink" Id="rId10"/>
    <Relationship TargetMode="External" Target="https://www.legis.iowa.gov/docs/ico/chapter/68B.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