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481—105.8</w:t>
      </w:r>
      <w:r>
        <w:rPr>
          <w:rFonts w:ascii="Times New Roman" w:hAnsi="Times New Roman"/>
          <w:b/>
          <w:i w:val="false"/>
          <w:color w:val="000000"/>
          <w:sz w:val="22"/>
        </w:rPr>
        <w:t xml:space="preserve">(10A,99B)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Decisions to refuse to issue a registration or to revoke a registration by the department may be appealed in accordance with the procedures set out in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refusal to issue a registration or the notice of revocation will be in writing and state the specific grounds for the action. When an appeal is received, the status of the registration is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val="false"/>
          <w:color w:val="000000"/>
          <w:sz w:val="22"/>
        </w:rPr>
        <w:t>No registration will be issued when a new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val="false"/>
          <w:color w:val="000000"/>
          <w:sz w:val="22"/>
        </w:rPr>
        <w:t>A previously issued registration remains effective until a final agency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