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481—104.7</w:t>
      </w:r>
      <w:r>
        <w:rPr>
          <w:rFonts w:ascii="Times New Roman" w:hAnsi="Times New Roman"/>
          <w:b/>
          <w:i w:val="false"/>
          <w:color w:val="000000"/>
          <w:sz w:val="22"/>
        </w:rPr>
        <w:t xml:space="preserve">(99B,17A)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In addition to the requirements for declaratory orders found in </w:t>
      </w:r>
      <w:hyperlink r:id="rId4">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 parties seeking a declaratory order shall file with their petition a written evaluation of the game by an independent gaming laboratory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color w:val="000000"/>
          <w:sz w:val="22"/>
        </w:rPr>
        <w:t xml:space="preserve">Approved by the department. </w:t>
      </w:r>
      <w:r>
        <w:rPr>
          <w:rFonts w:ascii="Times New Roman" w:hAnsi="Times New Roman"/>
          <w:b w:val="false"/>
          <w:i w:val="false"/>
          <w:color w:val="000000"/>
          <w:sz w:val="22"/>
        </w:rPr>
        <w:t>“Approved by the department” means that the gaming laboratory has submitted its qualifications in writing to the director for review and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color w:val="000000"/>
          <w:sz w:val="22"/>
        </w:rPr>
        <w:t xml:space="preserve">Written evaluation—requirements. </w:t>
      </w:r>
      <w:r>
        <w:rPr>
          <w:rFonts w:ascii="Times New Roman" w:hAnsi="Times New Roman"/>
          <w:b w:val="false"/>
          <w:i w:val="false"/>
          <w:color w:val="000000"/>
          <w:sz w:val="22"/>
        </w:rPr>
        <w:t>The independent gaming laboratory’s evaluation must analyze whether chance plays a role equal to or greater than the players’ skill or knowledge in determining the outcome of the game. “Outcome of the game” includes both whether the player correctly solves the puzzle and what prize is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