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Disqualification.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ALJ shall withdraw from a contested case under the circumstances listed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481—subrule 15.2(11)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as otherwise required by law.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0462D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8/5/26, effective 10/1/26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81.15.2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