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481—10.8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(10A,17A)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Scheduling.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Contested case hearings are scheduled according to the following criteria.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10.8(1)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Agency hearings.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division will promptly schedule hearings, with consideration of the availability of an ALJ, the requests of the parties or transmitting agency, and any special circumstances.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10.8(2)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Board hearings.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When a board requests an ALJ to assist with a contested case proceeding, the board shall consult with the division prior to scheduling hearings to determine the availability of an ALJ.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0462D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8/5/26, effective 10/1/26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