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481—10.7</w:t>
      </w:r>
      <w:r>
        <w:rPr>
          <w:rFonts w:ascii="Times New Roman" w:hAnsi="Times New Roman"/>
          <w:b/>
          <w:i w:val="false"/>
          <w:color w:val="000000"/>
          <w:sz w:val="22"/>
        </w:rPr>
        <w:t xml:space="preserve">(10A,17A) </w:t>
      </w:r>
      <w:r>
        <w:rPr>
          <w:rFonts w:ascii="Times New Roman" w:hAnsi="Times New Roman"/>
          <w:b/>
          <w:i w:val="false"/>
          <w:color w:val="000000"/>
          <w:sz w:val="22"/>
        </w:rPr>
        <w:t xml:space="preserve">Manner of proceedings. </w:t>
      </w:r>
      <w:r>
        <w:rPr>
          <w:rFonts w:ascii="Times New Roman" w:hAnsi="Times New Roman"/>
          <w:b w:val="false"/>
          <w:i w:val="false"/>
          <w:color w:val="000000"/>
          <w:sz w:val="22"/>
        </w:rPr>
        <w:t>Unless otherwise provided by statute or rule, the presiding officer holds the discretion to conduct hearings by telephone conference, video conference, or in person. Upon request, the presiding officer may allow witnesses to testify remotely, either via phone or video, in an in-person hearing.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0462D</w:t>
      </w:r>
      <w:r>
        <w:rPr>
          <w:rFonts w:ascii="Times New Roman" w:hAnsi="Times New Roman"/>
          <w:b w:val="false"/>
          <w:i w:val="false"/>
          <w:color w:val="000000"/>
          <w:sz w:val="16"/>
        </w:rPr>
        <w:t>, IAB 8/5/26, effective 10/1/26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