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481—10.6</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Notices of hearing and 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w:t>
      </w:r>
      <w:r>
        <w:rPr>
          <w:rFonts w:ascii="Times New Roman" w:hAnsi="Times New Roman"/>
          <w:b w:val="false"/>
          <w:i w:val="false"/>
          <w:color w:val="000000"/>
          <w:sz w:val="22"/>
        </w:rPr>
        <w:t> </w:t>
      </w:r>
      <w:r>
        <w:rPr>
          <w:rFonts w:ascii="Times New Roman" w:hAnsi="Times New Roman"/>
          <w:b w:val="false"/>
          <w:i w:val="false"/>
          <w:color w:val="000000"/>
          <w:sz w:val="22"/>
        </w:rPr>
        <w:t>A contested case is commenced when the division or board issues a notice of hearing or notice of prehearing conference. Responsibility for issuance of the notice and the manner of service shall be resolved by agreement between the division and the transmitting agency or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Notices shall contain the information required by Iowa Code section </w:t>
      </w:r>
      <w:hyperlink r:id="rId4">
        <w:r>
          <w:rPr>
            <w:rStyle w:val="Hyperlink"/>
            <w:rFonts w:ascii="Times New Roman" w:hAnsi="Times New Roman"/>
            <w:b w:val="false"/>
            <w:i w:val="false"/>
            <w:color w:val="000000"/>
            <w:sz w:val="22"/>
          </w:rPr>
          <w:t>17A.12(2)</w:t>
        </w:r>
      </w:hyperlink>
      <w:r>
        <w:rPr>
          <w:rFonts w:ascii="Times New Roman" w:hAnsi="Times New Roman"/>
          <w:b w:val="false"/>
          <w:i w:val="false"/>
          <w:color w:val="000000"/>
          <w:sz w:val="22"/>
        </w:rPr>
        <w:t xml:space="preserve"> and any additional information required by statute or rule. Notices shall be served by first-class mail or by AEDMS to all parties who are registered users unless otherwise required or permitted by statute or rule or agreed to pursuant to subrule </w:t>
      </w:r>
      <w:hyperlink r:id="rId5">
        <w:r>
          <w:rPr>
            <w:rStyle w:val="Hyperlink"/>
            <w:rFonts w:ascii="Times New Roman" w:hAnsi="Times New Roman"/>
            <w:b w:val="false"/>
            <w:i w:val="false"/>
            <w:color w:val="000000"/>
            <w:sz w:val="22"/>
          </w:rPr>
          <w:t>10.6(1)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or it may be set upon the presiding officer’s own motion. Prehearing conferences may provide an opportunity to be heard on the selection of date, time, manner of hearing, and any other matter set forth in the notice or raised by the parties or presiding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2.pdf" Type="http://schemas.openxmlformats.org/officeDocument/2006/relationships/hyperlink" Id="rId4"/>
    <Relationship TargetMode="External" Target="https://www.legis.iowa.gov/docs/iac/rule/481.10.6.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