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Transmission of 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shall transmit the matter either by creating a new case in AEDMS or by submitting a transmittal form. The following information is required: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transmitting agency;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email address, and telephone number of the contact person in the transmitting agency;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or title of the proceeding;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agency docket or reference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citation to the jurisdictional authority of the agency regarding the matter in controversy;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anticipated special features or requirements that may affect the hearing;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hearing should be held in person, by telephone, or by video conference call;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special legal or technical expertise needed to resolve the issues in the case;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names, phone numbers, email addresses, and addresses of all parties and their attorneys or other representatives;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the request for a contested case hearing was received by the agency;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statement of the issues involved and a reference to statutes and rules involved;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mandatory time limits that apply to the processing of the case;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Earliest appropriate hearing date;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a petition or answer is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documents shall be attached to the completed transmittal form or uploaded into AEDMS upon filing of a new case: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document showing the agency action in controversy;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any document requesting a contested case hearing.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