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 contested case hearing.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Requests for a contested case hearing are made to the agency with subject matter jurisdiction. That agency shall determine whether to initiate a contested case proceeding.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