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481—10.21</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or prehearing conference after proper service of notice, the presiding officer may either find the party to be in default or, if no adjournment is granted,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an evidentiary hearing to contest adverse agency action that has already occurred but has failed to file a required pleading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against whom a default has been entered may move to vacate the default decision within 14 days following the issuance of the order. Good cause to vacate a default decision means mistake, inadvertence, surprise, excusable neglect, or unavoidable casualty as provided in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