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481—10.19</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10.19(1)</w:t>
      </w:r>
      <w:r>
        <w:rPr>
          <w:rFonts w:ascii="Times New Roman" w:hAnsi="Times New Roman"/>
          <w:b w:val="false"/>
          <w:i w:val="false"/>
          <w:color w:val="000000"/>
          <w:sz w:val="22"/>
        </w:rPr>
        <w:t> </w:t>
      </w:r>
      <w:r>
        <w:rPr>
          <w:rFonts w:ascii="Times New Roman" w:hAnsi="Times New Roman"/>
          <w:b w:val="false"/>
          <w:i w:val="false"/>
          <w:color w:val="000000"/>
          <w:sz w:val="22"/>
        </w:rPr>
        <w:t>When an ALJ has been appointed as the presiding officer in a contested case, the ALJ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Rule on 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Preside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 the parties to submit briefs;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that the record is fully and fairly developed by inquiring into matters at issue;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Issue orders and rulings to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10.19(2)</w:t>
      </w:r>
      <w:r>
        <w:rPr>
          <w:rFonts w:ascii="Times New Roman" w:hAnsi="Times New Roman"/>
          <w:b w:val="false"/>
          <w:i w:val="false"/>
          <w:color w:val="000000"/>
          <w:sz w:val="22"/>
        </w:rPr>
        <w:t> </w:t>
      </w:r>
      <w:r>
        <w:rPr>
          <w:rFonts w:ascii="Times New Roman" w:hAnsi="Times New Roman"/>
          <w:b w:val="false"/>
          <w:i w:val="false"/>
          <w:color w:val="000000"/>
          <w:sz w:val="22"/>
        </w:rPr>
        <w:t>All objections to procedures, admission of evidence, or any other matter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10.19(3)</w:t>
      </w:r>
      <w:r>
        <w:rPr>
          <w:rFonts w:ascii="Times New Roman" w:hAnsi="Times New Roman"/>
          <w:b w:val="false"/>
          <w:i w:val="false"/>
          <w:color w:val="000000"/>
          <w:sz w:val="22"/>
        </w:rPr>
        <w:t> </w:t>
      </w:r>
      <w:r>
        <w:rPr>
          <w:rFonts w:ascii="Times New Roman" w:hAnsi="Times New Roman"/>
          <w:b w:val="false"/>
          <w:i w:val="false"/>
          <w:color w:val="000000"/>
          <w:sz w:val="22"/>
        </w:rPr>
        <w:t>Parties in a contested case have the right to participate or to be represented in all hearings or prehearing conferences related to their case. Agencies or partnerships, corporations or associations may be represented by any member, officer, director, or duly authorized agent. Any party may be represented by an attorney or 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10.19(4)</w:t>
      </w:r>
      <w:r>
        <w:rPr>
          <w:rFonts w:ascii="Times New Roman" w:hAnsi="Times New Roman"/>
          <w:b w:val="false"/>
          <w:i w:val="false"/>
          <w:color w:val="000000"/>
          <w:sz w:val="22"/>
        </w:rPr>
        <w:t> </w:t>
      </w:r>
      <w:r>
        <w:rPr>
          <w:rFonts w:ascii="Times New Roman" w:hAnsi="Times New Roman"/>
          <w:b w:val="false"/>
          <w:i w:val="false"/>
          <w:color w:val="000000"/>
          <w:sz w:val="22"/>
        </w:rPr>
        <w:t>Parties in a contested case have the right to introduce evidence on points at issue, to cross-examine witnesses, and to present evidence in rebuttal.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10.19(5)</w:t>
      </w:r>
      <w:r>
        <w:rPr>
          <w:rFonts w:ascii="Times New Roman" w:hAnsi="Times New Roman"/>
          <w:b w:val="false"/>
          <w:i w:val="false"/>
          <w:color w:val="000000"/>
          <w:sz w:val="22"/>
        </w:rPr>
        <w:t> </w:t>
      </w:r>
      <w:r>
        <w:rPr>
          <w:rFonts w:ascii="Times New Roman" w:hAnsi="Times New Roman"/>
          <w:b w:val="false"/>
          <w:i w:val="false"/>
          <w:color w:val="000000"/>
          <w:sz w:val="22"/>
        </w:rPr>
        <w:t>The ALJ shall maintain the decorum of the hearing and may refuse to admit or may expel anyone whose conduct is disorderly or disruptive.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10.19(7)</w:t>
      </w:r>
      <w:r>
        <w:rPr>
          <w:rFonts w:ascii="Times New Roman" w:hAnsi="Times New Roman"/>
          <w:b w:val="false"/>
          <w:i w:val="false"/>
          <w:color w:val="000000"/>
          <w:sz w:val="22"/>
        </w:rPr>
        <w:t> </w:t>
      </w:r>
      <w:r>
        <w:rPr>
          <w:rFonts w:ascii="Times New Roman" w:hAnsi="Times New Roman"/>
          <w:b w:val="false"/>
          <w:i w:val="false"/>
          <w:color w:val="000000"/>
          <w:sz w:val="22"/>
        </w:rPr>
        <w:t>The ALJ may allow the parties to make opening statements and closing arguments and may determine the order of presentation of evidence. Each witness shall be sworn or affirmed by the ALJ and be subject to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