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Withdrawals.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party that requested the contested case may move to withdraw the party’s request for a hearing at any time prior to the hearing. The ALJ may require the party to submit a written request after an oral request. Unless otherwise provided, a withdrawal shall be with prejudice.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0462D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