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request for continuance shall be made at the earliest opportunity and state the specific reasons for the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application for continuance will be made or granted ex parte except in an emergency where notice is not feasible. The agency may waive notice of requests for a case or a class of cases.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10.16(3)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where otherwise provided, a continuance may be granted at the discretion of the presiding officer. Factors to consider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prior continuances;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interests of all parties;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likelihood of informal settlement;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Existence of emergency;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Objection to the continuance;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applicable state or federal statutes or regulations;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existence of a conflict in the schedules of counsel or parties or witnesses;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timeliness of the request;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grounds stated in the motion or resistance.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