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481—10.15</w:t>
      </w:r>
      <w:r>
        <w:rPr>
          <w:rFonts w:ascii="Times New Roman" w:hAnsi="Times New Roman"/>
          <w:b/>
          <w:i w:val="false"/>
          <w:color w:val="000000"/>
          <w:sz w:val="22"/>
        </w:rPr>
        <w:t xml:space="preserve">(10A,17A)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No technical form is required for motions. Any motion for summary judgment shall be filed in compliance with the requirements of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resistance or response to a motion within 14 days after the motion is served unless the time period is extended or shortened by rules of the agency or by order of the division or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 upon the request of any party or upon the presiding officer’s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val="false"/>
          <w:color w:val="000000"/>
          <w:sz w:val="22"/>
        </w:rPr>
        <w:t>Except for good cause, all motions pertaining to the hearing must be filed and served at least ten days prior to the hearing date, unless the time period is shortened or lengthened by order of the presiding officer, or the rules of the agency provide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