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481—10.14</w:t>
      </w:r>
      <w:r>
        <w:rPr>
          <w:rFonts w:ascii="Times New Roman" w:hAnsi="Times New Roman"/>
          <w:b/>
          <w:i w:val="false"/>
          <w:color w:val="000000"/>
          <w:sz w:val="22"/>
        </w:rPr>
        <w:t xml:space="preserve">(10A,17A)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Every subpoena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State that the subpoena is issued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title of the proceeding and its case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Command each person to whom it is directed to do the following at a specified time and place: attend and testify; produce designated documents, electronically stored information, or tangible things in that person’s possession, custody, or control; or permit the inspection of premises;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Set out the text of subrules </w:t>
      </w:r>
      <w:hyperlink r:id="rId4">
        <w:r>
          <w:rPr>
            <w:rStyle w:val="Hyperlink"/>
            <w:rFonts w:ascii="Times New Roman" w:hAnsi="Times New Roman"/>
            <w:b w:val="false"/>
            <w:i w:val="false"/>
            <w:color w:val="000000"/>
            <w:sz w:val="22"/>
          </w:rPr>
          <w:t>10.14(4)</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10.14(5)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Command to attend a deposition; notice of the recording method. </w:t>
      </w:r>
      <w:r>
        <w:rPr>
          <w:rFonts w:ascii="Times New Roman" w:hAnsi="Times New Roman"/>
          <w:b w:val="false"/>
          <w:i w:val="false"/>
          <w:color w:val="000000"/>
          <w:sz w:val="22"/>
        </w:rPr>
        <w:t>A subpoena commanding attendance at a deposition must state the method for recording the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Combining or separating a command to produce or to permit inspection; specifying the form for electronically stored information. </w:t>
      </w:r>
      <w:r>
        <w:rPr>
          <w:rFonts w:ascii="Times New Roman" w:hAnsi="Times New Roman"/>
          <w:b w:val="false"/>
          <w:i w:val="false"/>
          <w:color w:val="000000"/>
          <w:sz w:val="22"/>
        </w:rPr>
        <w:t>A command to produce documents, electronically stored information, or tangible things or to permit the inspection of premises may be included in a subpoena commanding attendance at a deposition, hearing, or trial, or may be set out in a separate subpoena. A subpoena may specify the form or forms in which electronically stored information is to be produced.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Command to produce; included obligations. </w:t>
      </w:r>
      <w:r>
        <w:rPr>
          <w:rFonts w:ascii="Times New Roman" w:hAnsi="Times New Roman"/>
          <w:b w:val="false"/>
          <w:i w:val="false"/>
          <w:color w:val="000000"/>
          <w:sz w:val="22"/>
        </w:rPr>
        <w:t>A command in a subpoena to produce documents, electronically stored information, or tangible things requires the responding party to permit inspection, copying, testing, or sampling of the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10.14(2)</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The division will issue a subpoena, signed but otherwise in blank, to a party who requests it in writing. That party must complete it before service. An attorney licensed or otherwise authorized to practice law in Iowa also may issue and sign a subpoena as an officer of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10.14(3)</w:t>
      </w:r>
      <w:r>
        <w:rPr>
          <w:rFonts w:ascii="Times New Roman" w:hAnsi="Times New Roman"/>
          <w:b w:val="false"/>
          <w:i w:val="false"/>
          <w:color w:val="000000"/>
          <w:sz w:val="22"/>
        </w:rPr>
        <w:t> </w:t>
      </w:r>
      <w:r>
        <w:rPr>
          <w:rFonts w:ascii="Times New Roman" w:hAnsi="Times New Roman"/>
          <w:b w:val="false"/>
          <w:i/>
          <w:color w:val="000000"/>
          <w:sz w:val="22"/>
        </w:rPr>
        <w:t xml:space="preserve">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By whom; tendering fees; serving a copy of certain subpoenas. </w:t>
      </w:r>
      <w:r>
        <w:rPr>
          <w:rFonts w:ascii="Times New Roman" w:hAnsi="Times New Roman"/>
          <w:b w:val="false"/>
          <w:i w:val="false"/>
          <w:color w:val="000000"/>
          <w:sz w:val="22"/>
        </w:rPr>
        <w:t>Any person who is at least 18 years old and not a party may serve a subpoena. Serving a subpoena requires delivering a copy to the named person and, if the subpoena requires that person’s attendance and, if demanded, tendering the fees for one day’s attendance and traveling fees to and from the court. If the subpoena commands the production of documents, electronically stored information, or tangible things or the inspection of premises before trial, then before it is served, a notice must be served on each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Permissible place of service. </w:t>
      </w:r>
      <w:r>
        <w:rPr>
          <w:rFonts w:ascii="Times New Roman" w:hAnsi="Times New Roman"/>
          <w:b w:val="false"/>
          <w:i w:val="false"/>
          <w:color w:val="000000"/>
          <w:sz w:val="22"/>
        </w:rPr>
        <w:t>A subpoena may be served at any place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Proof of service. </w:t>
      </w:r>
      <w:r>
        <w:rPr>
          <w:rFonts w:ascii="Times New Roman" w:hAnsi="Times New Roman"/>
          <w:b w:val="false"/>
          <w:i w:val="false"/>
          <w:color w:val="000000"/>
          <w:sz w:val="22"/>
        </w:rPr>
        <w:t xml:space="preserve">Proving service, when necessary, requires filing with the division a statement showing the date and manner of service and the names of persons served. The server must certify the statement in accordance with Iowa Code section </w:t>
      </w:r>
      <w:hyperlink r:id="rId6">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10.14(4)</w:t>
      </w:r>
      <w:r>
        <w:rPr>
          <w:rFonts w:ascii="Times New Roman" w:hAnsi="Times New Roman"/>
          <w:b w:val="false"/>
          <w:i w:val="false"/>
          <w:color w:val="000000"/>
          <w:sz w:val="22"/>
        </w:rPr>
        <w:t> </w:t>
      </w:r>
      <w:r>
        <w:rPr>
          <w:rFonts w:ascii="Times New Roman" w:hAnsi="Times New Roman"/>
          <w:b w:val="false"/>
          <w:i/>
          <w:color w:val="000000"/>
          <w:sz w:val="22"/>
        </w:rPr>
        <w:t xml:space="preserve">Protecting a person subject to a subpoena.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Avoiding undue burden or expense. </w:t>
      </w:r>
      <w:r>
        <w:rPr>
          <w:rFonts w:ascii="Times New Roman" w:hAnsi="Times New Roman"/>
          <w:b w:val="false"/>
          <w:i w:val="false"/>
          <w:color w:val="000000"/>
          <w:sz w:val="22"/>
        </w:rPr>
        <w:t>A party or attorney responsible for issuing and serving a subpoena must take reasonable steps to avoid imposing undue burden or expense on a person subject to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Command to produce materials or permit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Appearance not required.</w:t>
      </w:r>
      <w:r>
        <w:rPr>
          <w:rFonts w:ascii="Times New Roman" w:hAnsi="Times New Roman"/>
          <w:b w:val="false"/>
          <w:i w:val="false"/>
          <w:color w:val="000000"/>
          <w:sz w:val="22"/>
        </w:rPr>
        <w:t xml:space="preserve"> A person commanded to produce documents, electronically stored information, or tangible things, or to permit the inspection of premises, need not appear in person at the place of production or inspection unless also commanded to appear for a deposition, hearing, or trial.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Objections.</w:t>
      </w:r>
      <w:r>
        <w:rPr>
          <w:rFonts w:ascii="Times New Roman" w:hAnsi="Times New Roman"/>
          <w:b w:val="false"/>
          <w:i w:val="false"/>
          <w:color w:val="000000"/>
          <w:sz w:val="22"/>
        </w:rPr>
        <w:t> A person commanded to produce documents or tangible things or to permit inspection may serve on the party or attorney designated in the subpoena a written objection to inspecting, copying, testing or sampling any or all of the materials or to inspecting the premises, or to producing electronically stored information in the form or forms requested. The objection must be served before the earlier of the time specified for compliance or 14 days after the subpoena is served. If an objection is made, the following rules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any time, on notice to the commanded person, the serving party may move the division for an order compelling production 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These acts may be required only as directed in the order, and the order must protect a person who is neither a party nor a party’s officer from significant expense resulting from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Attendance. </w:t>
      </w:r>
      <w:r>
        <w:rPr>
          <w:rFonts w:ascii="Times New Roman" w:hAnsi="Times New Roman"/>
          <w:b w:val="false"/>
          <w:i w:val="false"/>
          <w:color w:val="000000"/>
          <w:sz w:val="22"/>
        </w:rPr>
        <w:t>Any party shall be permitted to attend at the same time and place and for the same purposes specified in the subpoena. No prior notice of intent to attend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Quashing or modifying a subpoena.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When required.</w:t>
      </w:r>
      <w:r>
        <w:rPr>
          <w:rFonts w:ascii="Times New Roman" w:hAnsi="Times New Roman"/>
          <w:b w:val="false"/>
          <w:i w:val="false"/>
          <w:color w:val="000000"/>
          <w:sz w:val="22"/>
        </w:rPr>
        <w:t> On timely motion, the division must quash or modify a subpoena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Fails to allow a reasonable time to comply;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Requires a person who is neither a party nor a party’s officer to travel more than 50 miles from where that person resides, is employed, or regularly transacts business in person, except that a person may be ordered to attend trial anywhere within the state in which the person is served with a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Requires disclosure of privileged or other protected matter, if no exception or waiver applies;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Subjects a person to undue burden.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When permitted.</w:t>
      </w:r>
      <w:r>
        <w:rPr>
          <w:rFonts w:ascii="Times New Roman" w:hAnsi="Times New Roman"/>
          <w:b w:val="false"/>
          <w:i w:val="false"/>
          <w:color w:val="000000"/>
          <w:sz w:val="22"/>
        </w:rPr>
        <w:t> To protect a person subject to or affected by a subpoena, the division may, on motion, quash or modify the subpoena if it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Disclosing a trade secret or other confidential research, development, or commercial information;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Disclosing an unretained expert’s opinion or information that does not describe specific occurrences in dispute and results from the expert’s study that was not requested by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who is neither a party nor a party’s officer to incur substantial expense to travel more than 50 miles to attend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color w:val="000000"/>
          <w:sz w:val="22"/>
        </w:rPr>
        <w:t>Specifying conditions as an alternative.</w:t>
      </w:r>
      <w:r>
        <w:rPr>
          <w:rFonts w:ascii="Times New Roman" w:hAnsi="Times New Roman"/>
          <w:b w:val="false"/>
          <w:i w:val="false"/>
          <w:color w:val="000000"/>
          <w:sz w:val="22"/>
        </w:rPr>
        <w:t xml:space="preserve"> In the circumstances described in subparagraph </w:t>
      </w:r>
      <w:hyperlink r:id="rId7">
        <w:r>
          <w:rPr>
            <w:rStyle w:val="Hyperlink"/>
            <w:rFonts w:ascii="Times New Roman" w:hAnsi="Times New Roman"/>
            <w:b w:val="false"/>
            <w:i w:val="false"/>
            <w:color w:val="000000"/>
            <w:sz w:val="22"/>
          </w:rPr>
          <w:t>10.14(4)</w:t>
        </w:r>
      </w:hyperlink>
      <w:r>
        <w:rPr>
          <w:rFonts w:ascii="Times New Roman" w:hAnsi="Times New Roman"/>
          <w:b w:val="false"/>
          <w:i/>
          <w:color w:val="000000"/>
          <w:sz w:val="22"/>
        </w:rPr>
        <w:t>“d”</w:t>
      </w:r>
      <w:r>
        <w:rPr>
          <w:rFonts w:ascii="Times New Roman" w:hAnsi="Times New Roman"/>
          <w:b w:val="false"/>
          <w:i w:val="false"/>
          <w:color w:val="000000"/>
          <w:sz w:val="22"/>
        </w:rPr>
        <w:t>(2), the division may, instead of quashing or modifying a subpoena, order appearance or production under specified conditions if the serving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Shows a substantial need for the testimony or material that cannot be otherwise met without undue hardship;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Ensures that the subpoenaed person will be reasonably compensated.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10.14(5)</w:t>
      </w:r>
      <w:r>
        <w:rPr>
          <w:rFonts w:ascii="Times New Roman" w:hAnsi="Times New Roman"/>
          <w:b w:val="false"/>
          <w:i w:val="false"/>
          <w:color w:val="000000"/>
          <w:sz w:val="22"/>
        </w:rPr>
        <w:t> </w:t>
      </w:r>
      <w:r>
        <w:rPr>
          <w:rFonts w:ascii="Times New Roman" w:hAnsi="Times New Roman"/>
          <w:b w:val="false"/>
          <w:i/>
          <w:color w:val="000000"/>
          <w:sz w:val="22"/>
        </w:rPr>
        <w:t xml:space="preserve">Duties in responding to a subpoena.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Producing documents or electronically stored information. </w:t>
      </w:r>
      <w:r>
        <w:rPr>
          <w:rFonts w:ascii="Times New Roman" w:hAnsi="Times New Roman"/>
          <w:b w:val="false"/>
          <w:i w:val="false"/>
          <w:color w:val="000000"/>
          <w:sz w:val="22"/>
        </w:rPr>
        <w:t>These procedures apply to producing documents or electronically stored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Documents.</w:t>
      </w:r>
      <w:r>
        <w:rPr>
          <w:rFonts w:ascii="Times New Roman" w:hAnsi="Times New Roman"/>
          <w:b w:val="false"/>
          <w:i w:val="false"/>
          <w:color w:val="000000"/>
          <w:sz w:val="22"/>
        </w:rPr>
        <w:t> A person responding to a subpoena to produce documents must produce them as they are kept in the ordinary course of business or must organize and label them to correspond to the categories in the demand.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Form for producing electronically stored information not specified.</w:t>
      </w:r>
      <w:r>
        <w:rPr>
          <w:rFonts w:ascii="Times New Roman" w:hAnsi="Times New Roman"/>
          <w:b w:val="false"/>
          <w:i w:val="false"/>
          <w:color w:val="000000"/>
          <w:sz w:val="22"/>
        </w:rPr>
        <w:t> If a subpoena does not specify a form for producing electronically stored information, the person responding must produce it in a form or forms in which it is ordinarily maintained or in a reasonably usable form or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color w:val="000000"/>
          <w:sz w:val="22"/>
        </w:rPr>
        <w:t>Electronically stored information produced in only one form.</w:t>
      </w:r>
      <w:r>
        <w:rPr>
          <w:rFonts w:ascii="Times New Roman" w:hAnsi="Times New Roman"/>
          <w:b w:val="false"/>
          <w:i w:val="false"/>
          <w:color w:val="000000"/>
          <w:sz w:val="22"/>
        </w:rPr>
        <w:t> The person responding need not produce the same electronically stored information in more than one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color w:val="000000"/>
          <w:sz w:val="22"/>
        </w:rPr>
        <w:t>Inaccessible electronically stored information.</w:t>
      </w:r>
      <w:r>
        <w:rPr>
          <w:rFonts w:ascii="Times New Roman" w:hAnsi="Times New Roman"/>
          <w:b w:val="false"/>
          <w:i w:val="false"/>
          <w:color w:val="000000"/>
          <w:sz w:val="22"/>
        </w:rPr>
        <w:t> The person responding need not provide discovery of electronically stored information from sources that the person identifies as not reasonably accessible because of undue burden or cost. On motion to compel discovery or for a protective order, the person responding must show that the information is not reasonably accessible because of undue burden or cost. If that showing is made, the division may nonetheless order discovery from such sources if the requesting party shows good cause. The division may specify conditions for the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Claiming privilege or protection.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color w:val="000000"/>
          <w:sz w:val="22"/>
        </w:rPr>
        <w:t>Information withheld.</w:t>
      </w:r>
      <w:r>
        <w:rPr>
          <w:rFonts w:ascii="Times New Roman" w:hAnsi="Times New Roman"/>
          <w:b w:val="false"/>
          <w:i w:val="false"/>
          <w:color w:val="000000"/>
          <w:sz w:val="22"/>
        </w:rPr>
        <w:t> A person withholding subpoenaed information under a claim that it is privileged or subject to protection as trial-preparation material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Expressly make the claim;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Describe the nature of the withheld documents, communications, or tangible things in a manner that, without revealing information itself privileged or protected, will enable the parties to assess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color w:val="000000"/>
          <w:sz w:val="22"/>
        </w:rPr>
        <w:t>Information produced.</w:t>
      </w:r>
      <w:r>
        <w:rPr>
          <w:rFonts w:ascii="Times New Roman" w:hAnsi="Times New Roman"/>
          <w:b w:val="false"/>
          <w:i w:val="false"/>
          <w:color w:val="000000"/>
          <w:sz w:val="22"/>
        </w:rPr>
        <w:t> If information produced in response to a subpoena is subject to a claim of privilege or of protection as trial-preparation material, the person making the claim may notify any party that received the information of the claim and the basis for the claim. After being notified, a party must promptly return, sequester, or destroy the specified information and any copies it has; must not use or disclose the information until the claim is resolved; must take reasonable steps to retrieve the information if the party disclosed it before being notified; and may promptly present the information to the court under seal for a determination of the claim. The person who produced the information must preserve the information until the claim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10.14(6)</w:t>
      </w:r>
      <w:r>
        <w:rPr>
          <w:rFonts w:ascii="Times New Roman" w:hAnsi="Times New Roman"/>
          <w:b w:val="false"/>
          <w:i w:val="false"/>
          <w:color w:val="000000"/>
          <w:sz w:val="22"/>
        </w:rPr>
        <w:t> </w:t>
      </w:r>
      <w:r>
        <w:rPr>
          <w:rFonts w:ascii="Times New Roman" w:hAnsi="Times New Roman"/>
          <w:b w:val="false"/>
          <w:i/>
          <w:color w:val="000000"/>
          <w:sz w:val="22"/>
        </w:rPr>
        <w:t xml:space="preserve">Duties of issuer of subpoena; producing copies of materials obtained by subpoena. </w:t>
      </w:r>
      <w:r>
        <w:rPr>
          <w:rFonts w:ascii="Times New Roman" w:hAnsi="Times New Roman"/>
          <w:b w:val="false"/>
          <w:i w:val="false"/>
          <w:color w:val="000000"/>
          <w:sz w:val="22"/>
        </w:rPr>
        <w:t>When a party on whose behalf a subpoena has been issued thereby creates or obtains copies of designated electronically stored information, books, papers, documents or tangible things, that party shall make available a duplicate of such copies at the request of any other party, who shall be responsible for payment of the reasonable cost of making the copies.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0462D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10.14.pdf" Type="http://schemas.openxmlformats.org/officeDocument/2006/relationships/hyperlink" Id="rId4"/>
    <Relationship TargetMode="External" Target="https://www.legis.iowa.gov/docs/iac/rule/481.10.14.pdf" Type="http://schemas.openxmlformats.org/officeDocument/2006/relationships/hyperlink" Id="rId5"/>
    <Relationship TargetMode="External" Target="https://www.legis.iowa.gov/docs/ico/chapter/622.1.pdf" Type="http://schemas.openxmlformats.org/officeDocument/2006/relationships/hyperlink" Id="rId6"/>
    <Relationship TargetMode="External" Target="https://www.legis.iowa.gov/docs/iac/rule/481.10.14.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