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Pleadings.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Pleadings may be required by the notice of hearing or by order of the presiding officer.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