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481—10.1</w:t>
      </w:r>
      <w:r>
        <w:rPr>
          <w:rFonts w:ascii="Times New Roman" w:hAnsi="Times New Roman"/>
          <w:b/>
          <w:i w:val="false"/>
          <w:color w:val="000000"/>
          <w:sz w:val="22"/>
        </w:rPr>
        <w:t xml:space="preserve">(10A) </w:t>
      </w:r>
      <w:r>
        <w:rPr>
          <w:rFonts w:ascii="Times New Roman" w:hAnsi="Times New Roman"/>
          <w:b/>
          <w:i w:val="false"/>
          <w:color w:val="000000"/>
          <w:sz w:val="22"/>
        </w:rPr>
        <w:t xml:space="preserve">Scope and application. </w:t>
      </w:r>
      <w:r>
        <w:rPr>
          <w:rFonts w:ascii="Times New Roman" w:hAnsi="Times New Roman"/>
          <w:b w:val="false"/>
          <w:i w:val="false"/>
          <w:color w:val="000000"/>
          <w:sz w:val="22"/>
        </w:rPr>
        <w:t>To the extent not otherwise provided by law of the transmitting agency or licensing board, this chapter applies to all contested case proceedings before the division or for which an ALJ is assisting another agency or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