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441—177.9</w:t>
      </w:r>
      <w:r>
        <w:rPr>
          <w:rFonts w:ascii="Times New Roman" w:hAnsi="Times New Roman"/>
          <w:b/>
          <w:i w:val="false"/>
          <w:color w:val="000000"/>
          <w:sz w:val="22"/>
        </w:rPr>
        <w:t xml:space="preserve">(249) </w:t>
      </w:r>
      <w:r>
        <w:rPr>
          <w:rFonts w:ascii="Times New Roman" w:hAnsi="Times New Roman"/>
          <w:b/>
          <w:i w:val="false"/>
          <w:color w:val="000000"/>
          <w:sz w:val="22"/>
        </w:rPr>
        <w:t xml:space="preserve">Termination conditions. </w:t>
      </w:r>
      <w:r>
        <w:rPr>
          <w:rFonts w:ascii="Times New Roman" w:hAnsi="Times New Roman"/>
          <w:b w:val="false"/>
          <w:i w:val="false"/>
          <w:color w:val="000000"/>
          <w:sz w:val="22"/>
        </w:rPr>
        <w:t>Termination of IHHRC will occur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When the client or the client’s legal representative requests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177.9(2)</w:t>
      </w:r>
      <w:r>
        <w:rPr>
          <w:rFonts w:ascii="Times New Roman" w:hAnsi="Times New Roman"/>
          <w:b w:val="false"/>
          <w:i w:val="false"/>
          <w:color w:val="000000"/>
          <w:sz w:val="22"/>
        </w:rPr>
        <w:t> </w:t>
      </w:r>
      <w:r>
        <w:rPr>
          <w:rFonts w:ascii="Times New Roman" w:hAnsi="Times New Roman"/>
          <w:b w:val="false"/>
          <w:i/>
          <w:color w:val="000000"/>
          <w:sz w:val="22"/>
        </w:rPr>
        <w:t xml:space="preserve">Care unnecessary. </w:t>
      </w:r>
      <w:r>
        <w:rPr>
          <w:rFonts w:ascii="Times New Roman" w:hAnsi="Times New Roman"/>
          <w:b w:val="false"/>
          <w:i w:val="false"/>
          <w:color w:val="000000"/>
          <w:sz w:val="22"/>
        </w:rPr>
        <w:t>When the client becomes sufficiently able to remain in the client’s own home with services that can be provided by other sources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177.9(3)</w:t>
      </w:r>
      <w:r>
        <w:rPr>
          <w:rFonts w:ascii="Times New Roman" w:hAnsi="Times New Roman"/>
          <w:b w:val="false"/>
          <w:i w:val="false"/>
          <w:color w:val="000000"/>
          <w:sz w:val="22"/>
        </w:rPr>
        <w:t> </w:t>
      </w:r>
      <w:r>
        <w:rPr>
          <w:rFonts w:ascii="Times New Roman" w:hAnsi="Times New Roman"/>
          <w:b w:val="false"/>
          <w:i/>
          <w:color w:val="000000"/>
          <w:sz w:val="22"/>
        </w:rPr>
        <w:t xml:space="preserve">Additional care necessary. </w:t>
      </w:r>
      <w:r>
        <w:rPr>
          <w:rFonts w:ascii="Times New Roman" w:hAnsi="Times New Roman"/>
          <w:b w:val="false"/>
          <w:i w:val="false"/>
          <w:color w:val="000000"/>
          <w:sz w:val="22"/>
        </w:rPr>
        <w:t>When the physical or mental condition of the client requires more care than can be provided in the client’s own home as determined by the department in consultation with the certifying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177.9(4)</w:t>
      </w:r>
      <w:r>
        <w:rPr>
          <w:rFonts w:ascii="Times New Roman" w:hAnsi="Times New Roman"/>
          <w:b w:val="false"/>
          <w:i w:val="false"/>
          <w:color w:val="000000"/>
          <w:sz w:val="22"/>
        </w:rPr>
        <w:t> </w:t>
      </w:r>
      <w:r>
        <w:rPr>
          <w:rFonts w:ascii="Times New Roman" w:hAnsi="Times New Roman"/>
          <w:b w:val="false"/>
          <w:i/>
          <w:color w:val="000000"/>
          <w:sz w:val="22"/>
        </w:rPr>
        <w:t xml:space="preserve">Excessive costs. </w:t>
      </w:r>
      <w:r>
        <w:rPr>
          <w:rFonts w:ascii="Times New Roman" w:hAnsi="Times New Roman"/>
          <w:b w:val="false"/>
          <w:i w:val="false"/>
          <w:color w:val="000000"/>
          <w:sz w:val="22"/>
        </w:rPr>
        <w:t xml:space="preserve">When the cost of care exceeds the maximum established in subrule </w:t>
      </w:r>
      <w:hyperlink r:id="rId4">
        <w:r>
          <w:rPr>
            <w:rStyle w:val="Hyperlink"/>
            <w:rFonts w:ascii="Times New Roman" w:hAnsi="Times New Roman"/>
            <w:b w:val="false"/>
            <w:i w:val="false"/>
            <w:color w:val="000000"/>
            <w:sz w:val="22"/>
          </w:rPr>
          <w:t>177.9(3)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177.9(5)</w:t>
      </w:r>
      <w:r>
        <w:rPr>
          <w:rFonts w:ascii="Times New Roman" w:hAnsi="Times New Roman"/>
          <w:b w:val="false"/>
          <w:i w:val="false"/>
          <w:color w:val="000000"/>
          <w:sz w:val="22"/>
        </w:rPr>
        <w:t> </w:t>
      </w:r>
      <w:r>
        <w:rPr>
          <w:rFonts w:ascii="Times New Roman" w:hAnsi="Times New Roman"/>
          <w:b w:val="false"/>
          <w:i/>
          <w:color w:val="000000"/>
          <w:sz w:val="22"/>
        </w:rPr>
        <w:t xml:space="preserve">Other services utilized. </w:t>
      </w:r>
      <w:r>
        <w:rPr>
          <w:rFonts w:ascii="Times New Roman" w:hAnsi="Times New Roman"/>
          <w:b w:val="false"/>
          <w:i w:val="false"/>
          <w:color w:val="000000"/>
          <w:sz w:val="22"/>
        </w:rPr>
        <w:t>When the department determines that other services can be utilized to better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177.9(6)</w:t>
      </w:r>
      <w:r>
        <w:rPr>
          <w:rFonts w:ascii="Times New Roman" w:hAnsi="Times New Roman"/>
          <w:b w:val="false"/>
          <w:i w:val="false"/>
          <w:color w:val="000000"/>
          <w:sz w:val="22"/>
        </w:rPr>
        <w:t> </w:t>
      </w:r>
      <w:r>
        <w:rPr>
          <w:rFonts w:ascii="Times New Roman" w:hAnsi="Times New Roman"/>
          <w:b w:val="false"/>
          <w:i/>
          <w:color w:val="000000"/>
          <w:sz w:val="22"/>
        </w:rPr>
        <w:t xml:space="preserve">Terms of provider agreement not met. </w:t>
      </w:r>
      <w:r>
        <w:rPr>
          <w:rFonts w:ascii="Times New Roman" w:hAnsi="Times New Roman"/>
          <w:b w:val="false"/>
          <w:i w:val="false"/>
          <w:color w:val="000000"/>
          <w:sz w:val="22"/>
        </w:rPr>
        <w:t>When it has been determined by the department that the terms of the provider agreement have not been met by the client or the provider, the state supplementary assistance payment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177.9(7)</w:t>
      </w:r>
      <w:r>
        <w:rPr>
          <w:rFonts w:ascii="Times New Roman" w:hAnsi="Times New Roman"/>
          <w:b w:val="false"/>
          <w:i w:val="false"/>
          <w:color w:val="000000"/>
          <w:sz w:val="22"/>
        </w:rPr>
        <w:t> </w:t>
      </w:r>
      <w:r>
        <w:rPr>
          <w:rFonts w:ascii="Times New Roman" w:hAnsi="Times New Roman"/>
          <w:b w:val="false"/>
          <w:i/>
          <w:color w:val="000000"/>
          <w:sz w:val="22"/>
        </w:rPr>
        <w:t xml:space="preserve">Failing to comply with program requirements. </w:t>
      </w:r>
      <w:r>
        <w:rPr>
          <w:rFonts w:ascii="Times New Roman" w:hAnsi="Times New Roman"/>
          <w:b w:val="false"/>
          <w:i w:val="false"/>
          <w:color w:val="000000"/>
          <w:sz w:val="22"/>
        </w:rPr>
        <w:t>When the recipient is not following the program requirements or cooperating with the program objectives, including but not limited to a failure to provide documentation to program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177.9(8)</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w:t>
      </w:r>
      <w:r>
        <w:rPr>
          <w:rFonts w:ascii="Times New Roman" w:hAnsi="Times New Roman"/>
          <w:b w:val="false"/>
          <w:i w:val="false"/>
          <w:color w:val="000000"/>
          <w:sz w:val="22"/>
        </w:rPr>
        <w:t xml:space="preserve">Written notice of termination will be provided pursuant to </w:t>
      </w:r>
      <w:hyperlink r:id="rId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decision may be appealed pursuant to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7.9.pdf" Type="http://schemas.openxmlformats.org/officeDocument/2006/relationships/hyperlink" Id="rId4"/>
    <Relationship TargetMode="External" Target="https://www.legis.iowa.gov/docs/iac/chapter/441.16.pdf" Type="http://schemas.openxmlformats.org/officeDocument/2006/relationships/hyperlink" Id="rId5"/>
    <Relationship TargetMode="External" Target="https://www.legis.iowa.gov/docs/iac/chapter/441.2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