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441—177.7</w:t>
      </w:r>
      <w:r>
        <w:rPr>
          <w:rFonts w:ascii="Times New Roman" w:hAnsi="Times New Roman"/>
          <w:b/>
          <w:i w:val="false"/>
          <w:color w:val="000000"/>
          <w:sz w:val="22"/>
        </w:rPr>
        <w:t xml:space="preserve">(249) </w:t>
      </w:r>
      <w:r>
        <w:rPr>
          <w:rFonts w:ascii="Times New Roman" w:hAnsi="Times New Roman"/>
          <w:b/>
          <w:i w:val="false"/>
          <w:color w:val="000000"/>
          <w:sz w:val="22"/>
        </w:rPr>
        <w:t xml:space="preserve">Written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177.7(1)</w:t>
      </w:r>
      <w:r>
        <w:rPr>
          <w:rFonts w:ascii="Times New Roman" w:hAnsi="Times New Roman"/>
          <w:b w:val="false"/>
          <w:i w:val="false"/>
          <w:color w:val="000000"/>
          <w:sz w:val="22"/>
        </w:rPr>
        <w:t> </w:t>
      </w:r>
      <w:r>
        <w:rPr>
          <w:rFonts w:ascii="Times New Roman" w:hAnsi="Times New Roman"/>
          <w:b w:val="false"/>
          <w:i/>
          <w:color w:val="000000"/>
          <w:sz w:val="22"/>
        </w:rPr>
        <w:t xml:space="preserve">Independent contractor. </w:t>
      </w:r>
      <w:r>
        <w:rPr>
          <w:rFonts w:ascii="Times New Roman" w:hAnsi="Times New Roman"/>
          <w:b w:val="false"/>
          <w:i w:val="false"/>
          <w:color w:val="000000"/>
          <w:sz w:val="22"/>
        </w:rPr>
        <w:t>The provider shall be an independent contractor and shall not be an agent, employee or servant of the state of Iowa, the department or any of its employees or clients.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177.7(2)</w:t>
      </w:r>
      <w:r>
        <w:rPr>
          <w:rFonts w:ascii="Times New Roman" w:hAnsi="Times New Roman"/>
          <w:b w:val="false"/>
          <w:i w:val="false"/>
          <w:color w:val="000000"/>
          <w:sz w:val="22"/>
        </w:rPr>
        <w:t> </w:t>
      </w:r>
      <w:r>
        <w:rPr>
          <w:rFonts w:ascii="Times New Roman" w:hAnsi="Times New Roman"/>
          <w:b w:val="false"/>
          <w:i/>
          <w:color w:val="000000"/>
          <w:sz w:val="22"/>
        </w:rPr>
        <w:t xml:space="preserve">Liability coverage. </w:t>
      </w:r>
      <w:r>
        <w:rPr>
          <w:rFonts w:ascii="Times New Roman" w:hAnsi="Times New Roman"/>
          <w:b w:val="false"/>
          <w:i w:val="false"/>
          <w:color w:val="000000"/>
          <w:sz w:val="22"/>
        </w:rPr>
        <w:t>All professional health care providers shall have adequate liability coverage consistent with the professional health care providers’ responsibilities, since the department assumes no responsibility, or liability, for individuals providing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177.7(3)</w:t>
      </w:r>
      <w:r>
        <w:rPr>
          <w:rFonts w:ascii="Times New Roman" w:hAnsi="Times New Roman"/>
          <w:b w:val="false"/>
          <w:i w:val="false"/>
          <w:color w:val="000000"/>
          <w:sz w:val="22"/>
        </w:rPr>
        <w:t> </w:t>
      </w:r>
      <w:r>
        <w:rPr>
          <w:rFonts w:ascii="Times New Roman" w:hAnsi="Times New Roman"/>
          <w:b w:val="false"/>
          <w:i/>
          <w:color w:val="000000"/>
          <w:sz w:val="22"/>
        </w:rPr>
        <w:t xml:space="preserve">Provider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client and the provider shall enter into an agreement using a form prescribed by the department prior to the provision of service. Any reduction to the state supplemental assistance program shall be applied to the maximum amount paid by the department as stated in the provider agreement by using the separate amendment to provider agreement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instructions for dealing with emergency situations will be completed by the department and included in the provider agreement, which shall be maintained in the client’s home and at the department. The instructions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telephone number of the client’s physician, responsible family members or other significant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as to which hospital to utilize;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as to which ambulance service or other emergency transportation to utilize.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0460D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