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441—177.6</w:t>
      </w:r>
      <w:r>
        <w:rPr>
          <w:rFonts w:ascii="Times New Roman" w:hAnsi="Times New Roman"/>
          <w:b/>
          <w:i w:val="false"/>
          <w:color w:val="000000"/>
          <w:sz w:val="22"/>
        </w:rPr>
        <w:t xml:space="preserve">(249) </w:t>
      </w:r>
      <w:r>
        <w:rPr>
          <w:rFonts w:ascii="Times New Roman" w:hAnsi="Times New Roman"/>
          <w:b/>
          <w:i w:val="false"/>
          <w:color w:val="000000"/>
          <w:sz w:val="22"/>
        </w:rPr>
        <w:t xml:space="preserve">Supervising practitioner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177.6(1)</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The supervising practitioner shall provide instruction specific to each patient and the services each patient is receiving, including but not limited to instruction on documentation the worker should be creating and instruction on warning signs of which the department should be aware.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177.6(2)</w:t>
      </w:r>
      <w:r>
        <w:rPr>
          <w:rFonts w:ascii="Times New Roman" w:hAnsi="Times New Roman"/>
          <w:b w:val="false"/>
          <w:i w:val="false"/>
          <w:color w:val="000000"/>
          <w:sz w:val="22"/>
        </w:rPr>
        <w:t> </w:t>
      </w:r>
      <w:r>
        <w:rPr>
          <w:rFonts w:ascii="Times New Roman" w:hAnsi="Times New Roman"/>
          <w:b w:val="false"/>
          <w:i/>
          <w:color w:val="000000"/>
          <w:sz w:val="22"/>
        </w:rPr>
        <w:t xml:space="preserve">Schedule for reviewing documentation. </w:t>
      </w:r>
      <w:r>
        <w:rPr>
          <w:rFonts w:ascii="Times New Roman" w:hAnsi="Times New Roman"/>
          <w:b w:val="false"/>
          <w:i w:val="false"/>
          <w:color w:val="000000"/>
          <w:sz w:val="22"/>
        </w:rPr>
        <w:t>The supervising practitioner shall set up a schedule for reviewing documentation that is specific to the services being provided to that particular patient and shall review the documentation according to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177.6(3)</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keep appropriate medical records, a copy of the service plan, and the physician’s certification in the supervising practitioner’s case file. In addition, the medical records shall include, whenever appropriate, transfer forms, physician’s orders, progress notes, drug administration records, treatment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make all medical records available to the department, the client, and the client’s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ensure that, upon termination of the in-home care plan, the medical records are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retain medical records transferred to it under paragraph </w:t>
      </w:r>
      <w:hyperlink r:id="rId4">
        <w:r>
          <w:rPr>
            <w:rStyle w:val="Hyperlink"/>
            <w:rFonts w:ascii="Times New Roman" w:hAnsi="Times New Roman"/>
            <w:b w:val="false"/>
            <w:i w:val="false"/>
            <w:color w:val="000000"/>
            <w:sz w:val="22"/>
          </w:rPr>
          <w:t>177.6(3)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five years or, if an audit is commenced within the five years, until completion of that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7.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