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441—177.5</w:t>
      </w:r>
      <w:r>
        <w:rPr>
          <w:rFonts w:ascii="Times New Roman" w:hAnsi="Times New Roman"/>
          <w:b/>
          <w:i w:val="false"/>
          <w:color w:val="000000"/>
          <w:sz w:val="22"/>
        </w:rPr>
        <w:t xml:space="preserve">(249A) </w:t>
      </w:r>
      <w:r>
        <w:rPr>
          <w:rFonts w:ascii="Times New Roman" w:hAnsi="Times New Roman"/>
          <w:b/>
          <w:i w:val="false"/>
          <w:color w:val="000000"/>
          <w:sz w:val="22"/>
        </w:rPr>
        <w:t xml:space="preserve">Department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177.5(1)</w:t>
      </w:r>
      <w:r>
        <w:rPr>
          <w:rFonts w:ascii="Times New Roman" w:hAnsi="Times New Roman"/>
          <w:b w:val="false"/>
          <w:i w:val="false"/>
          <w:color w:val="000000"/>
          <w:sz w:val="22"/>
        </w:rPr>
        <w:t> </w:t>
      </w:r>
      <w:r>
        <w:rPr>
          <w:rFonts w:ascii="Times New Roman" w:hAnsi="Times New Roman"/>
          <w:b w:val="false"/>
          <w:i/>
          <w:color w:val="000000"/>
          <w:sz w:val="22"/>
        </w:rPr>
        <w:t xml:space="preserve">Service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consultation with the client’s case manager and any supervising health practitioner, the department will create a complete service plan for the client. The plan must avoid duplication of services and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of the services certified by a physician under rule </w:t>
      </w:r>
      <w:hyperlink r:id="rId4">
        <w:r>
          <w:rPr>
            <w:rStyle w:val="Hyperlink"/>
            <w:rFonts w:ascii="Times New Roman" w:hAnsi="Times New Roman"/>
            <w:b w:val="false"/>
            <w:i w:val="false"/>
            <w:color w:val="000000"/>
            <w:sz w:val="22"/>
          </w:rPr>
          <w:t>441—177.4</w:t>
        </w:r>
      </w:hyperlink>
      <w:r>
        <w:rPr>
          <w:rFonts w:ascii="Times New Roman" w:hAnsi="Times New Roman"/>
          <w:b w:val="false"/>
          <w:i w:val="false"/>
          <w:color w:val="000000"/>
          <w:sz w:val="22"/>
        </w:rPr>
        <w:t>(249).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Payer sources. IHHRC care shall be provided only when other programs cannot meet the client’s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Level of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 history. If the client is being transferred from a medical hospital or long-term care facility, the department will also obtain a transfer document describing the client’s current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consultation with the client’s case manager and any supervising health practitioner, the department will review and update the service plan on or before the ninetieth day following the creation of or previous review of the service plan. The updated service plan must comply with paragraph </w:t>
      </w:r>
      <w:hyperlink r:id="rId5">
        <w:r>
          <w:rPr>
            <w:rStyle w:val="Hyperlink"/>
            <w:rFonts w:ascii="Times New Roman" w:hAnsi="Times New Roman"/>
            <w:b w:val="false"/>
            <w:i w:val="false"/>
            <w:color w:val="000000"/>
            <w:sz w:val="22"/>
          </w:rPr>
          <w:t>177.5(1)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177.5(2)</w:t>
      </w:r>
      <w:r>
        <w:rPr>
          <w:rFonts w:ascii="Times New Roman" w:hAnsi="Times New Roman"/>
          <w:b w:val="false"/>
          <w:i w:val="false"/>
          <w:color w:val="000000"/>
          <w:sz w:val="22"/>
        </w:rPr>
        <w:t> </w:t>
      </w:r>
      <w:r>
        <w:rPr>
          <w:rFonts w:ascii="Times New Roman" w:hAnsi="Times New Roman"/>
          <w:b w:val="false"/>
          <w:i/>
          <w:color w:val="000000"/>
          <w:sz w:val="22"/>
        </w:rPr>
        <w:t xml:space="preserve">Change in condition. </w:t>
      </w:r>
      <w:r>
        <w:rPr>
          <w:rFonts w:ascii="Times New Roman" w:hAnsi="Times New Roman"/>
          <w:b w:val="false"/>
          <w:i w:val="false"/>
          <w:color w:val="000000"/>
          <w:sz w:val="22"/>
        </w:rPr>
        <w:t>If the department becomes aware of any changes in the individual’s condition, including discharge from a facility, that could require a change in the services provided, the department will ensure that a physician reviews the existing certification and that the existing certification is withdrawn, renewed, or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177.5(3)</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service documentation submitted by the client or provider, including any requests for supplementation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there are concerns as a result of such a review, there will be a change in the service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0460D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177.4.pdf" Type="http://schemas.openxmlformats.org/officeDocument/2006/relationships/hyperlink" Id="rId4"/>
    <Relationship TargetMode="External" Target="https://www.legis.iowa.gov/docs/iac/rule/441.177.5.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