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441—177.2</w:t>
      </w:r>
      <w:r>
        <w:rPr>
          <w:rFonts w:ascii="Times New Roman" w:hAnsi="Times New Roman"/>
          <w:b/>
          <w:i w:val="false"/>
          <w:color w:val="000000"/>
          <w:sz w:val="22"/>
        </w:rPr>
        <w:t xml:space="preserve">(249) </w:t>
      </w:r>
      <w:r>
        <w:rPr>
          <w:rFonts w:ascii="Times New Roman" w:hAnsi="Times New Roman"/>
          <w:b/>
          <w:i w:val="false"/>
          <w:color w:val="000000"/>
          <w:sz w:val="22"/>
        </w:rPr>
        <w:t xml:space="preserve">Eligibility and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for in-home health-related care (IHHRC):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must be eligible for supplemental security income (SSI) in every respect, except for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must certify in accordance with rule </w:t>
      </w:r>
      <w:hyperlink r:id="rId4">
        <w:r>
          <w:rPr>
            <w:rStyle w:val="Hyperlink"/>
            <w:rFonts w:ascii="Times New Roman" w:hAnsi="Times New Roman"/>
            <w:b w:val="false"/>
            <w:i w:val="false"/>
            <w:color w:val="000000"/>
            <w:sz w:val="22"/>
          </w:rPr>
          <w:t>441—177.5</w:t>
        </w:r>
      </w:hyperlink>
      <w:r>
        <w:rPr>
          <w:rFonts w:ascii="Times New Roman" w:hAnsi="Times New Roman"/>
          <w:b w:val="false"/>
          <w:i w:val="false"/>
          <w:color w:val="000000"/>
          <w:sz w:val="22"/>
        </w:rPr>
        <w:t>(249) that the individual requires either skilled services or personal care services and that those services can be provided in the individual’s own home. The certification shall be provided using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shall live in the individual’s own home. Notwithstanding the foregoing, an individual will remain eligible for a period not to exceed 15 days in any calendar month when the client is temporarily absent from the client’s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shall obtain a physical examination report annually and shall be under the supervision of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required skilled services or personal care services must not be available under any other state or federal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countable income of the individual and spouse living in the home shall be limited to $480.55 per month if one needs care or $961.10 if both need care, after the following disregards from gross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basic SSI standard for an individual or a couple,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income is earned, $65 plus one-half of any remaining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the SSI standard for a dependent plus any established unmet medical needs for each dependent living in the home. Any income of the dependent shall be applied to the dependent’s needs before making this disregard.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amount of the established medical needs of the ineligible spouse that are not otherwise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amount of the established medical needs of the applicant or recipient that are not otherwise met and would not be met if the individual were eligible for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Income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income received by the parents in the home shall be deemed to the child with the following disregards: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basic SSI standard for an individual when there is one parent in the home or for a couple when there are two parents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basic SSI standard for a dependent for each ineligible child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the unmet medical needs of the parents and ineligible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all income is earned, an additional basic SSI standard for an individual in a one-parent home or for a couple in a two-parent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the income is both earned and unearned, $65 plus one-half of the remainder of the 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countable income of the child shall be limited to $480.55 per month after the following disregards from gross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basic SSI standard for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established medical needs of the child that are not otherwise met and would not be met if the child were eligible for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One-third of the child support payments received from an absent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 IHHRC shall be made on a form prescribed by the department and submitted to the department. An eligibility determination will be completed within 30 days from the date of the application unless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has been filed and is pending for federal SSI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department has not received information that is beyond the control of the client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due to the disability determination process performed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provider agreement has not been completed and completion is beyond control of the client. When the provider agreement cannot be completed due to the client’s failure to locate a provider, applications will not be held pending beyond 60 days from the date of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0460D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77.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