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care”</w:t>
      </w:r>
      <w:r>
        <w:rPr>
          <w:rFonts w:ascii="Times New Roman" w:hAnsi="Times New Roman"/>
          <w:b w:val="false"/>
          <w:i w:val="false"/>
          <w:color w:val="000000"/>
          <w:sz w:val="22"/>
        </w:rPr>
        <w:t> </w:t>
      </w:r>
      <w:r>
        <w:rPr>
          <w:rFonts w:ascii="Times New Roman" w:hAnsi="Times New Roman"/>
          <w:b w:val="false"/>
          <w:i w:val="false"/>
          <w:color w:val="000000"/>
          <w:sz w:val="22"/>
        </w:rPr>
        <w:t>includes skilled services and personal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 home”</w:t>
      </w:r>
      <w:r>
        <w:rPr>
          <w:rFonts w:ascii="Times New Roman" w:hAnsi="Times New Roman"/>
          <w:b w:val="false"/>
          <w:i w:val="false"/>
          <w:color w:val="000000"/>
          <w:sz w:val="22"/>
        </w:rPr>
        <w:t> </w:t>
      </w:r>
      <w:r>
        <w:rPr>
          <w:rFonts w:ascii="Times New Roman" w:hAnsi="Times New Roman"/>
          <w:b w:val="false"/>
          <w:i w:val="false"/>
          <w:color w:val="000000"/>
          <w:sz w:val="22"/>
        </w:rPr>
        <w:t>means an individual’s house, apartment, or other living arrangement intended for single or family residential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 services”</w:t>
      </w:r>
      <w:r>
        <w:rPr>
          <w:rFonts w:ascii="Times New Roman" w:hAnsi="Times New Roman"/>
          <w:b w:val="false"/>
          <w:i w:val="false"/>
          <w:color w:val="000000"/>
          <w:sz w:val="22"/>
        </w:rPr>
        <w:t>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that assist a client with the activities of daily living, such as but not limited to helping the client with bathing, toileting, getting in and out of bed, ambulation, hair care, oral hygiene and administering medications that are physician-ordered but ordinarily self-administered.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that help or retrain the client in necessary skills for daily living.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Incidental household services that are essential to the client’s health care at home and are necessary to prevent or postpone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services”</w:t>
      </w:r>
      <w:r>
        <w:rPr>
          <w:rFonts w:ascii="Times New Roman" w:hAnsi="Times New Roman"/>
          <w:b w:val="false"/>
          <w:i w:val="false"/>
          <w:color w:val="000000"/>
          <w:sz w:val="22"/>
        </w:rPr>
        <w:t> </w:t>
      </w:r>
      <w:r>
        <w:rPr>
          <w:rFonts w:ascii="Times New Roman" w:hAnsi="Times New Roman"/>
          <w:b w:val="false"/>
          <w:i w:val="false"/>
          <w:color w:val="000000"/>
          <w:sz w:val="22"/>
        </w:rPr>
        <w:t>are services for which an individualized assessment of a patient’s clinical condition demonstrates that the specialized judgment, knowledge, and skills of a registered nurse or, when provided by regulation, a licensed practical (vocational) nurse (skilled care)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services”</w:t>
      </w:r>
      <w:r>
        <w:rPr>
          <w:rFonts w:ascii="Times New Roman" w:hAnsi="Times New Roman"/>
          <w:b w:val="false"/>
          <w:i w:val="false"/>
          <w:color w:val="000000"/>
          <w:sz w:val="22"/>
        </w:rPr>
        <w:t> </w:t>
      </w:r>
      <w:r>
        <w:rPr>
          <w:rFonts w:ascii="Times New Roman" w:hAnsi="Times New Roman"/>
          <w:b w:val="false"/>
          <w:i w:val="false"/>
          <w:color w:val="000000"/>
          <w:sz w:val="22"/>
        </w:rPr>
        <w:t>include skilled nursing services or other services that, based on a physician’s certification, are required to be performed under the supervision of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practitioner”</w:t>
      </w:r>
      <w:r>
        <w:rPr>
          <w:rFonts w:ascii="Times New Roman" w:hAnsi="Times New Roman"/>
          <w:b w:val="false"/>
          <w:i w:val="false"/>
          <w:color w:val="000000"/>
          <w:sz w:val="22"/>
        </w:rPr>
        <w:t> </w:t>
      </w:r>
      <w:r>
        <w:rPr>
          <w:rFonts w:ascii="Times New Roman" w:hAnsi="Times New Roman"/>
          <w:b w:val="false"/>
          <w:i w:val="false"/>
          <w:color w:val="000000"/>
          <w:sz w:val="22"/>
        </w:rPr>
        <w:t>means a physician, nurse practitioner, clinical nurse specialist, or physician associate qualified to supervise skilled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