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441—166.5</w:t>
      </w:r>
      <w:r>
        <w:rPr>
          <w:rFonts w:ascii="Times New Roman" w:hAnsi="Times New Roman"/>
          <w:b/>
          <w:i w:val="false"/>
          <w:color w:val="000000"/>
          <w:sz w:val="22"/>
        </w:rPr>
        <w:t xml:space="preserve">(249A) </w:t>
      </w:r>
      <w:r>
        <w:rPr>
          <w:rFonts w:ascii="Times New Roman" w:hAnsi="Times New Roman"/>
          <w:b/>
          <w:i w:val="false"/>
          <w:color w:val="000000"/>
          <w:sz w:val="22"/>
        </w:rPr>
        <w:t xml:space="preserve">Project contracts. </w:t>
      </w:r>
      <w:r>
        <w:rPr>
          <w:rFonts w:ascii="Times New Roman" w:hAnsi="Times New Roman"/>
          <w:b w:val="false"/>
          <w:i w:val="false"/>
          <w:color w:val="000000"/>
          <w:sz w:val="22"/>
        </w:rPr>
        <w:t>Grants for approved applicant project plans will be awarded through a contract entered into by the department and the applicant. The contract period will not exceed the time frames allowed by state and federal laws. The department will reimburse expenditures pursuant to contract terms and the regular reimbursement procedures of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0459D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