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441—166.3</w:t>
      </w:r>
      <w:r>
        <w:rPr>
          <w:rFonts w:ascii="Times New Roman" w:hAnsi="Times New Roman"/>
          <w:b/>
          <w:i w:val="false"/>
          <w:color w:val="000000"/>
          <w:sz w:val="22"/>
        </w:rPr>
        <w:t xml:space="preserve">(249A) </w:t>
      </w:r>
      <w:r>
        <w:rPr>
          <w:rFonts w:ascii="Times New Roman" w:hAnsi="Times New Roman"/>
          <w:b/>
          <w:i w:val="false"/>
          <w:color w:val="000000"/>
          <w:sz w:val="22"/>
        </w:rPr>
        <w:t xml:space="preserve">Grant eligibility. </w:t>
      </w:r>
      <w:r>
        <w:rPr>
          <w:rFonts w:ascii="Times New Roman" w:hAnsi="Times New Roman"/>
          <w:b w:val="false"/>
          <w:i w:val="false"/>
          <w:color w:val="000000"/>
          <w:sz w:val="22"/>
        </w:rPr>
        <w:t>Grants are available for quality improvement initiatives that are outside the scope of normal operations for the nursing facility or other applicants. Grants cannot be used as replacement funding for goods or services that the applicant already offers.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166.3(1)</w:t>
      </w:r>
      <w:r>
        <w:rPr>
          <w:rFonts w:ascii="Times New Roman" w:hAnsi="Times New Roman"/>
          <w:b w:val="false"/>
          <w:i w:val="false"/>
          <w:color w:val="000000"/>
          <w:sz w:val="22"/>
        </w:rPr>
        <w:t> </w:t>
      </w:r>
      <w:r>
        <w:rPr>
          <w:rFonts w:ascii="Times New Roman" w:hAnsi="Times New Roman"/>
          <w:b w:val="false"/>
          <w:i w:val="false"/>
          <w:color w:val="000000"/>
          <w:sz w:val="22"/>
        </w:rPr>
        <w:t>Grants may be awarded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Short-term quality improvement initiatives (three years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Situations eligible for emergency reserve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comply with CMS guidance on civil money penalty uses.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0459D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