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441—166.2</w:t>
      </w:r>
      <w:r>
        <w:rPr>
          <w:rFonts w:ascii="Times New Roman" w:hAnsi="Times New Roman"/>
          <w:b/>
          <w:i w:val="false"/>
          <w:color w:val="000000"/>
          <w:sz w:val="22"/>
        </w:rPr>
        <w:t xml:space="preserve">(249A) </w:t>
      </w:r>
      <w:r>
        <w:rPr>
          <w:rFonts w:ascii="Times New Roman" w:hAnsi="Times New Roman"/>
          <w:b/>
          <w:i w:val="false"/>
          <w:color w:val="000000"/>
          <w:sz w:val="22"/>
        </w:rPr>
        <w:t xml:space="preserve">Availability of grants. </w:t>
      </w:r>
      <w:r>
        <w:rPr>
          <w:rFonts w:ascii="Times New Roman" w:hAnsi="Times New Roman"/>
          <w:b w:val="false"/>
          <w:i w:val="false"/>
          <w:color w:val="000000"/>
          <w:sz w:val="22"/>
        </w:rPr>
        <w:t xml:space="preserve">The department will set aside an annual amount from the civil money penalty fund established pursuant to Iowa Code section </w:t>
      </w:r>
      <w:hyperlink r:id="rId4">
        <w:r>
          <w:rPr>
            <w:rStyle w:val="Hyperlink"/>
            <w:rFonts w:ascii="Times New Roman" w:hAnsi="Times New Roman"/>
            <w:b w:val="false"/>
            <w:i w:val="false"/>
            <w:color w:val="000000"/>
            <w:sz w:val="22"/>
          </w:rPr>
          <w:t>249A.57</w:t>
        </w:r>
      </w:hyperlink>
      <w:r>
        <w:rPr>
          <w:rFonts w:ascii="Times New Roman" w:hAnsi="Times New Roman"/>
          <w:b w:val="false"/>
          <w:i w:val="false"/>
          <w:color w:val="000000"/>
          <w:sz w:val="22"/>
        </w:rPr>
        <w:t xml:space="preserve"> to be awarded in the form of emergency reserve fund grants to eligible entities for approved support and protection of residents of a facility that closes (voluntarily or involuntarily). At no time shall the grant set-aside cause the civil money penalty emergency reserve fund to drop below $1 million.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166.2(1)</w:t>
      </w:r>
      <w:r>
        <w:rPr>
          <w:rFonts w:ascii="Times New Roman" w:hAnsi="Times New Roman"/>
          <w:b w:val="false"/>
          <w:i w:val="false"/>
          <w:color w:val="000000"/>
          <w:sz w:val="22"/>
        </w:rPr>
        <w:t> </w:t>
      </w:r>
      <w:r>
        <w:rPr>
          <w:rFonts w:ascii="Times New Roman" w:hAnsi="Times New Roman"/>
          <w:b w:val="false"/>
          <w:i w:val="false"/>
          <w:color w:val="000000"/>
          <w:sz w:val="22"/>
        </w:rPr>
        <w:t>In any calendar year in which sufficient funds are available in the civil money penalty fund to support quality improvement initiative grants, the department may issue a notice for applications for grants.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166.2(2)</w:t>
      </w:r>
      <w:r>
        <w:rPr>
          <w:rFonts w:ascii="Times New Roman" w:hAnsi="Times New Roman"/>
          <w:b w:val="false"/>
          <w:i w:val="false"/>
          <w:color w:val="000000"/>
          <w:sz w:val="22"/>
        </w:rPr>
        <w:t> </w:t>
      </w:r>
      <w:r>
        <w:rPr>
          <w:rFonts w:ascii="Times New Roman" w:hAnsi="Times New Roman"/>
          <w:b w:val="false"/>
          <w:i w:val="false"/>
          <w:color w:val="000000"/>
          <w:sz w:val="22"/>
        </w:rPr>
        <w:t>There is no entitlement to any funds available for grants awarded pursuant to this chapter. The department may award grants to the extent funds are available and, within its discretion, to the extent that applications are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 plan as described in rule </w:t>
      </w:r>
      <w:hyperlink r:id="rId5">
        <w:r>
          <w:rPr>
            <w:rStyle w:val="Hyperlink"/>
            <w:rFonts w:ascii="Times New Roman" w:hAnsi="Times New Roman"/>
            <w:b w:val="false"/>
            <w:i w:val="false"/>
            <w:color w:val="000000"/>
            <w:sz w:val="22"/>
          </w:rPr>
          <w:t>441—166.4</w:t>
        </w:r>
      </w:hyperlink>
      <w:r>
        <w:rPr>
          <w:rFonts w:ascii="Times New Roman" w:hAnsi="Times New Roman"/>
          <w:b w:val="false"/>
          <w:i w:val="false"/>
          <w:color w:val="000000"/>
          <w:sz w:val="22"/>
        </w:rPr>
        <w:t>(249A) and allocation of funds shall be in compliance with state and federal laws and approved by the Centers for Medicare and Medicaid Services (CMS).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166.2(4)</w:t>
      </w:r>
      <w:r>
        <w:rPr>
          <w:rFonts w:ascii="Times New Roman" w:hAnsi="Times New Roman"/>
          <w:b w:val="false"/>
          <w:i w:val="false"/>
          <w:color w:val="000000"/>
          <w:sz w:val="22"/>
        </w:rPr>
        <w:t> </w:t>
      </w:r>
      <w:r>
        <w:rPr>
          <w:rFonts w:ascii="Times New Roman" w:hAnsi="Times New Roman"/>
          <w:b w:val="false"/>
          <w:i w:val="false"/>
          <w:color w:val="000000"/>
          <w:sz w:val="22"/>
        </w:rPr>
        <w:t>Emergency reserve fund grants are available for purposes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Time-limited expenses incurred in the process of relocating residents when a facility closes (voluntarily or involuntarily) or downsizes pursuant to an agreement with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and maintenance of temporary management or receivership capability.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0459D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49A.57.pdf" Type="http://schemas.openxmlformats.org/officeDocument/2006/relationships/hyperlink" Id="rId4"/>
    <Relationship TargetMode="External" Target="https://www.legis.iowa.gov/docs/iac/rule/441.166.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