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81—24.15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4">
        <w:r>
          <w:rPr>
            <w:rStyle w:val="Hyperlink"/>
            <w:rFonts w:ascii="Times New Roman" w:hAnsi="Times New Roman"/>
            <w:b w:val="false"/>
            <w:i w:val="false"/>
            <w:color w:val="000000"/>
            <w:sz w:val="22"/>
          </w:rPr>
          <w:t>24.2</w:t>
        </w:r>
      </w:hyperlink>
      <w:r>
        <w:rPr>
          <w:rFonts w:ascii="Times New Roman" w:hAnsi="Times New Roman"/>
          <w:b w:val="false"/>
          <w:i w:val="false"/>
          <w:color w:val="000000"/>
          <w:sz w:val="22"/>
        </w:rPr>
        <w:t xml:space="preserve">(22). These records are routinely available to the public. However, the agency’s files of these records may contain confidential information as discussed in </w:t>
      </w:r>
      <w:hyperlink r:id="rId5">
        <w:r>
          <w:rPr>
            <w:rStyle w:val="Hyperlink"/>
            <w:rFonts w:ascii="Times New Roman" w:hAnsi="Times New Roman"/>
            <w:b w:val="false"/>
            <w:i w:val="false"/>
            <w:color w:val="000000"/>
            <w:sz w:val="22"/>
          </w:rPr>
          <w:t>24.13</w:t>
        </w:r>
      </w:hyperlink>
      <w:r>
        <w:rPr>
          <w:rFonts w:ascii="Times New Roman" w:hAnsi="Times New Roman"/>
          <w:b w:val="false"/>
          <w:i w:val="false"/>
          <w:color w:val="000000"/>
          <w:sz w:val="22"/>
        </w:rPr>
        <w:t xml:space="preserve">(22). In addition, the records listed in </w:t>
      </w:r>
      <w:hyperlink r:id="rId6">
        <w:r>
          <w:rPr>
            <w:rStyle w:val="Hyperlink"/>
            <w:rFonts w:ascii="Times New Roman" w:hAnsi="Times New Roman"/>
            <w:b w:val="false"/>
            <w:i w:val="false"/>
            <w:color w:val="000000"/>
            <w:sz w:val="22"/>
          </w:rPr>
          <w:t>24.15(1)</w:t>
        </w:r>
      </w:hyperlink>
      <w:r>
        <w:rPr>
          <w:rFonts w:ascii="Times New Roman" w:hAnsi="Times New Roman"/>
          <w:b w:val="false"/>
          <w:i w:val="false"/>
          <w:color w:val="000000"/>
          <w:sz w:val="22"/>
        </w:rPr>
        <w:t xml:space="preserve"> to 24.15(3) may contain information about individuals; however, these records are not retrieved by the name of the individual.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24.15(1)</w:t>
      </w:r>
      <w:r>
        <w:rPr>
          <w:rFonts w:ascii="Times New Roman" w:hAnsi="Times New Roman"/>
          <w:b w:val="false"/>
          <w:i w:val="false"/>
          <w:color w:val="000000"/>
          <w:sz w:val="22"/>
        </w:rPr>
        <w:t> </w:t>
      </w:r>
      <w:r>
        <w:rPr>
          <w:rFonts w:ascii="Times New Roman" w:hAnsi="Times New Roman"/>
          <w:b w:val="false"/>
          <w:i/>
          <w:color w:val="000000"/>
          <w:sz w:val="22"/>
        </w:rPr>
        <w:t xml:space="preserve">Published audit reports. </w:t>
      </w:r>
      <w:r>
        <w:rPr>
          <w:rFonts w:ascii="Times New Roman" w:hAnsi="Times New Roman"/>
          <w:b w:val="false"/>
          <w:i w:val="false"/>
          <w:color w:val="000000"/>
          <w:sz w:val="22"/>
        </w:rPr>
        <w:t xml:space="preserve">Audit reports and supporting working papers may contain information about individuals working for or doing business with the subject of the audit report. This information is collected pursuant to Iowa Code section </w:t>
      </w:r>
      <w:hyperlink r:id="rId7">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These reports and working papers are stored both on paper and microfiche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24.15(2)</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 on proposed rules. This information is collected pursuant to Iowa Code section </w:t>
      </w:r>
      <w:hyperlink r:id="rId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Project reports, agency newsletters, brochures, etc., may contain information about individuals, including agency staff or members of agency committees.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24.15(4)</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24.15(5)</w:t>
      </w:r>
      <w:r>
        <w:rPr>
          <w:rFonts w:ascii="Times New Roman" w:hAnsi="Times New Roman"/>
          <w:b w:val="false"/>
          <w:i w:val="false"/>
          <w:color w:val="000000"/>
          <w:sz w:val="22"/>
        </w:rPr>
        <w:t> </w:t>
      </w:r>
      <w:r>
        <w:rPr>
          <w:rFonts w:ascii="Times New Roman" w:hAnsi="Times New Roman"/>
          <w:b w:val="false"/>
          <w:i/>
          <w:color w:val="000000"/>
          <w:sz w:val="22"/>
        </w:rPr>
        <w:t xml:space="preserve">Agency employees’ handbook. </w:t>
      </w:r>
      <w:r>
        <w:rPr>
          <w:rFonts w:ascii="Times New Roman" w:hAnsi="Times New Roman"/>
          <w:b w:val="false"/>
          <w:i w:val="false"/>
          <w:color w:val="000000"/>
          <w:sz w:val="22"/>
        </w:rPr>
        <w:t>The agency employees’ handbook does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24.15(6)</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1.24.2.pdf" Type="http://schemas.openxmlformats.org/officeDocument/2006/relationships/hyperlink" Id="rId4"/>
    <Relationship TargetMode="External" Target="https://www.legis.iowa.gov/docs/iac/rule/81.24.13.pdf" Type="http://schemas.openxmlformats.org/officeDocument/2006/relationships/hyperlink" Id="rId5"/>
    <Relationship TargetMode="External" Target="https://www.legis.iowa.gov/docs/iac/rule/81.24.15.pdf" Type="http://schemas.openxmlformats.org/officeDocument/2006/relationships/hyperlink" Id="rId6"/>
    <Relationship TargetMode="External" Target="https://www.legis.iowa.gov/docs/ico/chapter/11.4.pdf" Type="http://schemas.openxmlformats.org/officeDocument/2006/relationships/hyperlink" Id="rId7"/>
    <Relationship TargetMode="External" Target="https://www.legis.iowa.gov/docs/ico/chapter/17A.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