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801—10.57</w:t>
      </w:r>
      <w:r>
        <w:rPr>
          <w:rFonts w:ascii="Times New Roman" w:hAnsi="Times New Roman"/>
          <w:b/>
          <w:i w:val="false"/>
          <w:color w:val="000000"/>
          <w:sz w:val="22"/>
        </w:rPr>
        <w:t xml:space="preserve">(35D) </w:t>
      </w:r>
      <w:r>
        <w:rPr>
          <w:rFonts w:ascii="Times New Roman" w:hAnsi="Times New Roman"/>
          <w:b/>
          <w:i w:val="false"/>
          <w:color w:val="000000"/>
          <w:sz w:val="22"/>
        </w:rPr>
        <w:t xml:space="preserve">Operating motor vehicles on grounds.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10.57(1)</w:t>
      </w:r>
      <w:r>
        <w:rPr>
          <w:rFonts w:ascii="Times New Roman" w:hAnsi="Times New Roman"/>
          <w:b w:val="false"/>
          <w:i w:val="false"/>
          <w:color w:val="000000"/>
          <w:sz w:val="22"/>
        </w:rPr>
        <w:t> </w:t>
      </w:r>
      <w:r>
        <w:rPr>
          <w:rFonts w:ascii="Times New Roman" w:hAnsi="Times New Roman"/>
          <w:b w:val="false"/>
          <w:i w:val="false"/>
          <w:color w:val="000000"/>
          <w:sz w:val="22"/>
        </w:rPr>
        <w:t>The operator of a motor vehicle shall have a valid license for the type of vehicle being driven upon IVH grounds.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10.57(2)</w:t>
      </w:r>
      <w:r>
        <w:rPr>
          <w:rFonts w:ascii="Times New Roman" w:hAnsi="Times New Roman"/>
          <w:b w:val="false"/>
          <w:i w:val="false"/>
          <w:color w:val="000000"/>
          <w:sz w:val="22"/>
        </w:rPr>
        <w:t> </w:t>
      </w:r>
      <w:r>
        <w:rPr>
          <w:rFonts w:ascii="Times New Roman" w:hAnsi="Times New Roman"/>
          <w:b w:val="false"/>
          <w:i w:val="false"/>
          <w:color w:val="000000"/>
          <w:sz w:val="22"/>
        </w:rPr>
        <w:t>All persons operating a motor vehicle on IVH grounds shall comply with the applicable state and local laws and IVH policies.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10.57(3)</w:t>
      </w:r>
      <w:r>
        <w:rPr>
          <w:rFonts w:ascii="Times New Roman" w:hAnsi="Times New Roman"/>
          <w:b w:val="false"/>
          <w:i w:val="false"/>
          <w:color w:val="000000"/>
          <w:sz w:val="22"/>
        </w:rPr>
        <w:t> </w:t>
      </w:r>
      <w:r>
        <w:rPr>
          <w:rFonts w:ascii="Times New Roman" w:hAnsi="Times New Roman"/>
          <w:b w:val="false"/>
          <w:i w:val="false"/>
          <w:color w:val="000000"/>
          <w:sz w:val="22"/>
        </w:rPr>
        <w:t>No driver of a motor vehicle or motorcycle shall disobey the instructions of any traffic-control device, warning, or sign placed.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10.57(4)</w:t>
      </w:r>
      <w:r>
        <w:rPr>
          <w:rFonts w:ascii="Times New Roman" w:hAnsi="Times New Roman"/>
          <w:b w:val="false"/>
          <w:i w:val="false"/>
          <w:color w:val="000000"/>
          <w:sz w:val="22"/>
        </w:rPr>
        <w:t> </w:t>
      </w:r>
      <w:r>
        <w:rPr>
          <w:rFonts w:ascii="Times New Roman" w:hAnsi="Times New Roman"/>
          <w:b w:val="false"/>
          <w:i w:val="false"/>
          <w:color w:val="000000"/>
          <w:sz w:val="22"/>
        </w:rPr>
        <w:t>No person shall drive any vehicle in such a manner as to indicate either a willful or wanton disregard for the safety of person or property. The person operating the motor vehicle or motorcycle shall have same under control and shall reduce the speed to 20 miles per hour on IVH grounds and reduce the speed to a lower, reasonable rate when approaching and passing a person walking in the traveled portion of a street.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10.57(5)</w:t>
      </w:r>
      <w:r>
        <w:rPr>
          <w:rFonts w:ascii="Times New Roman" w:hAnsi="Times New Roman"/>
          <w:b w:val="false"/>
          <w:i w:val="false"/>
          <w:color w:val="000000"/>
          <w:sz w:val="22"/>
        </w:rPr>
        <w:t> </w:t>
      </w:r>
      <w:r>
        <w:rPr>
          <w:rFonts w:ascii="Times New Roman" w:hAnsi="Times New Roman"/>
          <w:b w:val="false"/>
          <w:i w:val="false"/>
          <w:color w:val="000000"/>
          <w:sz w:val="22"/>
        </w:rPr>
        <w:t>No person shall stop, park, or leave standing any type vehicle in established fire lanes, emergency vehicle areas, and other essential lanes. No person shall park any type vehicle on roadways.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10.57(6)</w:t>
      </w:r>
      <w:r>
        <w:rPr>
          <w:rFonts w:ascii="Times New Roman" w:hAnsi="Times New Roman"/>
          <w:b w:val="false"/>
          <w:i w:val="false"/>
          <w:color w:val="000000"/>
          <w:sz w:val="22"/>
        </w:rPr>
        <w:t> </w:t>
      </w:r>
      <w:r>
        <w:rPr>
          <w:rFonts w:ascii="Times New Roman" w:hAnsi="Times New Roman"/>
          <w:b w:val="false"/>
          <w:i w:val="false"/>
          <w:color w:val="000000"/>
          <w:sz w:val="22"/>
        </w:rPr>
        <w:t>No person shall leave any type vehicle unattended by not locking doors or removing keys.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10.57(7)</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rules may cause limitation or curtailment of driving privileges on IVH grounds for an indefinite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10.57(8)</w:t>
      </w:r>
      <w:r>
        <w:rPr>
          <w:rFonts w:ascii="Times New Roman" w:hAnsi="Times New Roman"/>
          <w:b w:val="false"/>
          <w:i w:val="false"/>
          <w:color w:val="000000"/>
          <w:sz w:val="22"/>
        </w:rPr>
        <w:t> </w:t>
      </w:r>
      <w:r>
        <w:rPr>
          <w:rFonts w:ascii="Times New Roman" w:hAnsi="Times New Roman"/>
          <w:b w:val="false"/>
          <w:i w:val="false"/>
          <w:color w:val="000000"/>
          <w:sz w:val="22"/>
        </w:rPr>
        <w:t>Motor vehicles belonging to members may be parked in member-designated parking on IVH grounds.</w:t>
      </w:r>
    </w:p>
    <w:p>
      <w:pPr>
        <w:spacing w:before="0" w:after="0"/>
        <w:ind w:left="120"/>
        <w:jc w:val="center"/>
      </w:pPr>
      <w:r>
        <w:rPr>
          <w:rFonts w:ascii="Times New Roman" w:hAnsi="Times New Roman"/>
          <w:b w:val="false"/>
          <w:i w:val="false"/>
          <w:color w:val="000000"/>
          <w:sz w:val="22"/>
        </w:rPr>
        <w:t xml:space="preserve">This chapter is intended to implement Iowa Code subsection </w:t>
      </w:r>
      <w:hyperlink r:id="rId4">
        <w:r>
          <w:rPr>
            <w:rStyle w:val="Hyperlink"/>
            <w:rFonts w:ascii="Times New Roman" w:hAnsi="Times New Roman"/>
            <w:b w:val="false"/>
            <w:i w:val="false"/>
            <w:color w:val="000000"/>
            <w:sz w:val="22"/>
          </w:rPr>
          <w:t>35A.3(4)</w:t>
        </w:r>
      </w:hyperlink>
      <w:r>
        <w:rPr>
          <w:rFonts w:ascii="Times New Roman" w:hAnsi="Times New Roman"/>
          <w:b w:val="false"/>
          <w:i w:val="false"/>
          <w:color w:val="000000"/>
          <w:sz w:val="22"/>
        </w:rPr>
        <w:t xml:space="preserve"> and chapter </w:t>
      </w:r>
      <w:hyperlink r:id="rId5">
        <w:r>
          <w:rPr>
            <w:rStyle w:val="Hyperlink"/>
            <w:rFonts w:ascii="Times New Roman" w:hAnsi="Times New Roman"/>
            <w:b w:val="false"/>
            <w:i w:val="false"/>
            <w:color w:val="000000"/>
            <w:sz w:val="22"/>
          </w:rPr>
          <w:t>35D</w:t>
        </w:r>
      </w:hyperlink>
      <w:r>
        <w:rPr>
          <w:rFonts w:ascii="Times New Roman" w:hAnsi="Times New Roman"/>
          <w:b w:val="false"/>
          <w:i w:val="false"/>
          <w:color w:val="000000"/>
          <w:sz w:val="22"/>
        </w:rPr>
        <w:t>.</w:t>
      </w:r>
    </w:p>
    <w:sectPr>
      <w:footerReference r:id="rId6"/>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35A.3.pdf" Type="http://schemas.openxmlformats.org/officeDocument/2006/relationships/hyperlink" Id="rId4"/>
    <Relationship TargetMode="External" Target="https://www.legis.iowa.gov/docs/ico/chapter/35D.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